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7A615A" w14:textId="77777777" w:rsidR="00D80425" w:rsidRDefault="008A5552" w:rsidP="001C168C">
      <w:pPr>
        <w:autoSpaceDE w:val="0"/>
        <w:autoSpaceDN w:val="0"/>
        <w:spacing w:after="0" w:line="317" w:lineRule="exact"/>
        <w:ind w:left="100" w:right="100" w:firstLine="280"/>
        <w:jc w:val="center"/>
        <w:rPr>
          <w:rFonts w:ascii="Arial" w:eastAsia="Calibri" w:hAnsi="Arial" w:cs="Arial"/>
          <w:b/>
          <w:color w:val="000000"/>
          <w:sz w:val="24"/>
          <w:szCs w:val="24"/>
          <w:lang w:val="es-CO"/>
        </w:rPr>
      </w:pPr>
      <w:r w:rsidRPr="001C168C">
        <w:rPr>
          <w:rFonts w:ascii="Arial" w:eastAsia="Calibri" w:hAnsi="Arial" w:cs="Arial"/>
          <w:b/>
          <w:color w:val="000000"/>
          <w:sz w:val="24"/>
          <w:szCs w:val="24"/>
          <w:lang w:val="es-CO"/>
        </w:rPr>
        <w:t>POSIBILIDAD DE LA</w:t>
      </w:r>
      <w:r w:rsidR="00D80425">
        <w:rPr>
          <w:rFonts w:ascii="Arial" w:eastAsia="Calibri" w:hAnsi="Arial" w:cs="Arial"/>
          <w:b/>
          <w:color w:val="000000"/>
          <w:sz w:val="24"/>
          <w:szCs w:val="24"/>
          <w:lang w:val="es-CO"/>
        </w:rPr>
        <w:t xml:space="preserve"> ASPERSION AEREA CON GLIFOSATO</w:t>
      </w:r>
    </w:p>
    <w:p w14:paraId="4DF56DFF" w14:textId="77777777" w:rsidR="00066B85" w:rsidRPr="001C168C" w:rsidRDefault="008A5552" w:rsidP="001C168C">
      <w:pPr>
        <w:autoSpaceDE w:val="0"/>
        <w:autoSpaceDN w:val="0"/>
        <w:spacing w:after="0" w:line="317" w:lineRule="exact"/>
        <w:ind w:left="100" w:right="100" w:firstLine="280"/>
        <w:jc w:val="center"/>
        <w:rPr>
          <w:rFonts w:ascii="Arial" w:hAnsi="Arial" w:cs="Arial"/>
          <w:b/>
          <w:sz w:val="24"/>
          <w:szCs w:val="24"/>
          <w:lang w:val="es-CO"/>
        </w:rPr>
      </w:pPr>
      <w:r w:rsidRPr="001C168C">
        <w:rPr>
          <w:rFonts w:ascii="Arial" w:eastAsia="Calibri" w:hAnsi="Arial" w:cs="Arial"/>
          <w:b/>
          <w:color w:val="000000"/>
          <w:sz w:val="24"/>
          <w:szCs w:val="24"/>
          <w:lang w:val="es-CO"/>
        </w:rPr>
        <w:t>PARA EVITAR CRIMENES DE GUERRA</w:t>
      </w:r>
    </w:p>
    <w:p w14:paraId="5B89A13B" w14:textId="77777777" w:rsidR="00066B85" w:rsidRPr="001C168C" w:rsidRDefault="00066B85">
      <w:pPr>
        <w:autoSpaceDE w:val="0"/>
        <w:autoSpaceDN w:val="0"/>
        <w:spacing w:after="0" w:line="272" w:lineRule="exact"/>
        <w:jc w:val="both"/>
        <w:rPr>
          <w:rFonts w:ascii="Arial" w:eastAsia="SimSun" w:hAnsi="Arial" w:cs="Arial"/>
          <w:color w:val="000000"/>
          <w:sz w:val="24"/>
          <w:szCs w:val="24"/>
          <w:lang w:val="es-CO"/>
        </w:rPr>
      </w:pPr>
    </w:p>
    <w:p w14:paraId="49FB4D38" w14:textId="77777777" w:rsidR="00066B85" w:rsidRPr="001C168C" w:rsidRDefault="00066B85" w:rsidP="001C168C">
      <w:pPr>
        <w:autoSpaceDE w:val="0"/>
        <w:autoSpaceDN w:val="0"/>
        <w:spacing w:after="0" w:line="240" w:lineRule="auto"/>
        <w:jc w:val="both"/>
        <w:rPr>
          <w:rFonts w:ascii="Arial" w:eastAsia="SimSun" w:hAnsi="Arial" w:cs="Arial"/>
          <w:color w:val="000000"/>
          <w:sz w:val="24"/>
          <w:szCs w:val="24"/>
          <w:lang w:val="es-CO"/>
        </w:rPr>
      </w:pPr>
    </w:p>
    <w:p w14:paraId="48CE2FB1" w14:textId="77777777" w:rsidR="00066B85" w:rsidRPr="001C168C" w:rsidRDefault="008A5552" w:rsidP="001C168C">
      <w:pPr>
        <w:autoSpaceDE w:val="0"/>
        <w:autoSpaceDN w:val="0"/>
        <w:spacing w:after="0" w:line="240" w:lineRule="auto"/>
        <w:ind w:left="100" w:right="100"/>
        <w:jc w:val="both"/>
        <w:rPr>
          <w:rFonts w:ascii="Arial" w:hAnsi="Arial" w:cs="Arial"/>
          <w:sz w:val="24"/>
          <w:szCs w:val="24"/>
          <w:lang w:val="es-CO"/>
        </w:rPr>
      </w:pPr>
      <w:r w:rsidRPr="001C168C">
        <w:rPr>
          <w:rFonts w:ascii="Arial" w:eastAsia="Calibri" w:hAnsi="Arial" w:cs="Arial"/>
          <w:color w:val="000000"/>
          <w:sz w:val="24"/>
          <w:szCs w:val="24"/>
          <w:lang w:val="es-CO"/>
        </w:rPr>
        <w:t>En varias decisiones, la Corte Constitucional de Colombia ha sostenido que no es posible volver a la aspersión aérea con glifosato, si no existe prueba científica que demuestre que la utilización de</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este producto no origina riesgos significativos para la salud de los humanos. También ha dicho que, es necesario, respetar el derecho a la consulta previa y el principio de precaución (ver: sentencia T-236 de 2017). Dijo la Corte:</w:t>
      </w:r>
    </w:p>
    <w:p w14:paraId="290864AE" w14:textId="77777777" w:rsidR="00066B85" w:rsidRPr="001C168C" w:rsidRDefault="00066B85" w:rsidP="001C168C">
      <w:pPr>
        <w:autoSpaceDE w:val="0"/>
        <w:autoSpaceDN w:val="0"/>
        <w:spacing w:after="0" w:line="240" w:lineRule="auto"/>
        <w:jc w:val="both"/>
        <w:rPr>
          <w:rFonts w:ascii="Arial" w:eastAsia="SimSun" w:hAnsi="Arial" w:cs="Arial"/>
          <w:color w:val="000000"/>
          <w:sz w:val="24"/>
          <w:szCs w:val="24"/>
          <w:lang w:val="es-CO"/>
        </w:rPr>
      </w:pPr>
    </w:p>
    <w:p w14:paraId="420B36B6" w14:textId="77777777" w:rsidR="00066B85" w:rsidRPr="001C168C" w:rsidRDefault="008A5552" w:rsidP="001C168C">
      <w:pPr>
        <w:autoSpaceDE w:val="0"/>
        <w:autoSpaceDN w:val="0"/>
        <w:spacing w:after="0" w:line="240" w:lineRule="auto"/>
        <w:ind w:left="100" w:right="100"/>
        <w:jc w:val="both"/>
        <w:rPr>
          <w:rFonts w:ascii="Arial" w:hAnsi="Arial" w:cs="Arial"/>
          <w:sz w:val="24"/>
          <w:szCs w:val="24"/>
          <w:lang w:val="es-CO"/>
        </w:rPr>
      </w:pPr>
      <w:r w:rsidRPr="001C168C">
        <w:rPr>
          <w:rFonts w:ascii="Arial" w:eastAsia="Calibri" w:hAnsi="Arial" w:cs="Arial"/>
          <w:color w:val="000000"/>
          <w:sz w:val="24"/>
          <w:szCs w:val="24"/>
          <w:lang w:val="es-CO"/>
        </w:rPr>
        <w:t>“...La activación de una intervención judicial en desarrollo del principio de precaución requiere que el juez constitucional establezca la existencia de un riesgo significativo con base en evidencia objetiva. Esto excluye la consideración de riesgos mínimos, riesgos puramente hipotéticos o percepciones subjetivas de riesgo basadas en una sola fuente de información.</w:t>
      </w:r>
    </w:p>
    <w:p w14:paraId="433EB33E" w14:textId="77777777" w:rsidR="00066B85" w:rsidRPr="001C168C" w:rsidRDefault="00066B85">
      <w:pPr>
        <w:autoSpaceDE w:val="0"/>
        <w:autoSpaceDN w:val="0"/>
        <w:spacing w:after="0" w:line="272" w:lineRule="exact"/>
        <w:jc w:val="both"/>
        <w:rPr>
          <w:rFonts w:ascii="Arial" w:eastAsia="SimSun" w:hAnsi="Arial" w:cs="Arial"/>
          <w:color w:val="000000"/>
          <w:sz w:val="24"/>
          <w:szCs w:val="24"/>
          <w:lang w:val="es-CO"/>
        </w:rPr>
      </w:pPr>
    </w:p>
    <w:p w14:paraId="576F242B" w14:textId="77777777" w:rsidR="00066B85" w:rsidRPr="001C168C" w:rsidRDefault="008A5552" w:rsidP="001C168C">
      <w:pPr>
        <w:autoSpaceDE w:val="0"/>
        <w:autoSpaceDN w:val="0"/>
        <w:spacing w:after="0" w:line="289" w:lineRule="exact"/>
        <w:ind w:left="100" w:right="100"/>
        <w:jc w:val="both"/>
        <w:rPr>
          <w:rFonts w:ascii="Arial" w:eastAsia="Calibri" w:hAnsi="Arial" w:cs="Arial"/>
          <w:color w:val="000000"/>
          <w:sz w:val="24"/>
          <w:szCs w:val="24"/>
          <w:lang w:val="es-CO"/>
        </w:rPr>
      </w:pPr>
      <w:r w:rsidRPr="001C168C">
        <w:rPr>
          <w:rFonts w:ascii="Arial" w:eastAsia="Calibri" w:hAnsi="Arial" w:cs="Arial"/>
          <w:color w:val="000000"/>
          <w:sz w:val="24"/>
          <w:szCs w:val="24"/>
          <w:lang w:val="es-CO"/>
        </w:rPr>
        <w:t>Para la Sala, la evidencia revisada hasta ahora no establece un panorama completo del riesgo. Esta conclusión surge, entre otras cosas, porque no hace parte de las capacidades institucionales ni de las funciones de la Corte establecer ese panorama. Pero sí permite a la Corte adoptar algunas conclusiones provisionales teniendo en cuenta las siguientes premisas: (i) el glifosato es una sustancia que en sí misma considerada puede causar afectaciones a la estructura interna de las células y puede causar cáncer,</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aunque esta última conclusión está en discusión en la comunidad científica;(</w:t>
      </w:r>
      <w:proofErr w:type="spellStart"/>
      <w:r w:rsidRPr="001C168C">
        <w:rPr>
          <w:rFonts w:ascii="Arial" w:eastAsia="Calibri" w:hAnsi="Arial" w:cs="Arial"/>
          <w:color w:val="000000"/>
          <w:sz w:val="24"/>
          <w:szCs w:val="24"/>
          <w:lang w:val="es-CO"/>
        </w:rPr>
        <w:t>ii</w:t>
      </w:r>
      <w:proofErr w:type="spellEnd"/>
      <w:r w:rsidRPr="001C168C">
        <w:rPr>
          <w:rFonts w:ascii="Arial" w:eastAsia="Calibri" w:hAnsi="Arial" w:cs="Arial"/>
          <w:color w:val="000000"/>
          <w:sz w:val="24"/>
          <w:szCs w:val="24"/>
          <w:lang w:val="es-CO"/>
        </w:rPr>
        <w:t xml:space="preserve">) el coadyuvante </w:t>
      </w:r>
      <w:proofErr w:type="spellStart"/>
      <w:r w:rsidRPr="001C168C">
        <w:rPr>
          <w:rFonts w:ascii="Arial" w:eastAsia="Calibri" w:hAnsi="Arial" w:cs="Arial"/>
          <w:color w:val="000000"/>
          <w:sz w:val="24"/>
          <w:szCs w:val="24"/>
          <w:lang w:val="es-CO"/>
        </w:rPr>
        <w:t>Cosmo</w:t>
      </w:r>
      <w:proofErr w:type="spellEnd"/>
      <w:r w:rsidRPr="001C168C">
        <w:rPr>
          <w:rFonts w:ascii="Arial" w:eastAsia="Calibri" w:hAnsi="Arial" w:cs="Arial"/>
          <w:color w:val="000000"/>
          <w:sz w:val="24"/>
          <w:szCs w:val="24"/>
          <w:lang w:val="es-CO"/>
        </w:rPr>
        <w:t xml:space="preserve"> Flux ha sido considerado por el Ministerio de Salud como fuente de riesgo de afectaciones en la piel; (iii) las autoridades regulatorias europeas han permitido el uso del glifosato para el control de malezas, pero no lo han evaluado en relación con aspersiones aéreas ni en las concentraciones utilizadas en los programas de aspersión en Colombia;(iv) las investigaciones relacionadas con los programas de aspersión indican, de manera variable, algún nivel de riesgo, con excepción de las realizadas por Solomon y otros por encargo de la CICAD, que descarta los riesgos por completo; (v) las comunidades consideran que el glifosato sí</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causa afectaciones a la salud; (vi) las a</w:t>
      </w:r>
      <w:r w:rsidR="001C168C" w:rsidRPr="001C168C">
        <w:rPr>
          <w:rFonts w:ascii="Arial" w:eastAsia="Calibri" w:hAnsi="Arial" w:cs="Arial"/>
          <w:color w:val="000000"/>
          <w:sz w:val="24"/>
          <w:szCs w:val="24"/>
          <w:lang w:val="es-CO"/>
        </w:rPr>
        <w:t xml:space="preserve">utoridades han recibido un nivel </w:t>
      </w:r>
      <w:r w:rsidRPr="001C168C">
        <w:rPr>
          <w:rFonts w:ascii="Arial" w:eastAsia="Calibri" w:hAnsi="Arial" w:cs="Arial"/>
          <w:color w:val="000000"/>
          <w:sz w:val="24"/>
          <w:szCs w:val="24"/>
          <w:lang w:val="es-CO"/>
        </w:rPr>
        <w:t>considerable de quejas por afectaciones a la salud; y (vii) se desconoce si los parámetros de operación destinados a disminuir los riesgos son seguidos en la práctica por la Dirección de Antinarcóticos de la Policía Nacional.</w:t>
      </w:r>
    </w:p>
    <w:p w14:paraId="5DCB6CDF" w14:textId="77777777" w:rsidR="001C168C" w:rsidRPr="001C168C" w:rsidRDefault="001C168C" w:rsidP="001C168C">
      <w:pPr>
        <w:autoSpaceDE w:val="0"/>
        <w:autoSpaceDN w:val="0"/>
        <w:spacing w:after="0" w:line="289" w:lineRule="exact"/>
        <w:ind w:left="100" w:right="100"/>
        <w:jc w:val="both"/>
        <w:rPr>
          <w:rFonts w:ascii="Arial" w:hAnsi="Arial" w:cs="Arial"/>
          <w:sz w:val="24"/>
          <w:szCs w:val="24"/>
          <w:lang w:val="es-CO"/>
        </w:rPr>
      </w:pPr>
    </w:p>
    <w:p w14:paraId="601C8C63" w14:textId="77777777" w:rsidR="001C168C" w:rsidRPr="001C168C" w:rsidRDefault="008A5552">
      <w:pPr>
        <w:autoSpaceDE w:val="0"/>
        <w:autoSpaceDN w:val="0"/>
        <w:spacing w:after="0" w:line="303" w:lineRule="exact"/>
        <w:ind w:left="80" w:right="320"/>
        <w:jc w:val="both"/>
        <w:rPr>
          <w:rFonts w:ascii="Arial" w:eastAsia="Calibri" w:hAnsi="Arial" w:cs="Arial"/>
          <w:color w:val="000000"/>
          <w:sz w:val="24"/>
          <w:szCs w:val="24"/>
          <w:lang w:val="es-CO"/>
        </w:rPr>
      </w:pPr>
      <w:r w:rsidRPr="001C168C">
        <w:rPr>
          <w:rFonts w:ascii="Arial" w:eastAsia="Calibri" w:hAnsi="Arial" w:cs="Arial"/>
          <w:color w:val="000000"/>
          <w:sz w:val="24"/>
          <w:szCs w:val="24"/>
          <w:lang w:val="es-CO"/>
        </w:rPr>
        <w:t xml:space="preserve">Estas premisas dejan muchos vacíos empíricos que la Corte no puede llenar en esta oportunidad. </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No permiten conocer exactamente qué tipos de afectaciones a la salud pueden causarse ni de qué severidad serían las mismas. Tampoco permiten conocer el grado de probabilidad de cada clase de daño en distintos niveles de exposición. </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Sin embargo</w:t>
      </w:r>
      <w:r w:rsidR="001C168C" w:rsidRPr="001C168C">
        <w:rPr>
          <w:rFonts w:ascii="Arial" w:eastAsia="Calibri" w:hAnsi="Arial" w:cs="Arial"/>
          <w:color w:val="000000"/>
          <w:sz w:val="24"/>
          <w:szCs w:val="24"/>
          <w:lang w:val="es-CO"/>
        </w:rPr>
        <w:t>,</w:t>
      </w:r>
      <w:r w:rsidRPr="001C168C">
        <w:rPr>
          <w:rFonts w:ascii="Arial" w:eastAsia="Calibri" w:hAnsi="Arial" w:cs="Arial"/>
          <w:color w:val="000000"/>
          <w:sz w:val="24"/>
          <w:szCs w:val="24"/>
          <w:lang w:val="es-CO"/>
        </w:rPr>
        <w:t xml:space="preserve"> sí despiertan una duda fundada.</w:t>
      </w:r>
      <w:r w:rsidR="001C168C" w:rsidRPr="001C168C">
        <w:rPr>
          <w:rFonts w:ascii="Arial" w:eastAsia="Calibri" w:hAnsi="Arial" w:cs="Arial"/>
          <w:color w:val="000000"/>
          <w:sz w:val="24"/>
          <w:szCs w:val="24"/>
          <w:lang w:val="es-CO"/>
        </w:rPr>
        <w:t xml:space="preserve">  </w:t>
      </w:r>
    </w:p>
    <w:p w14:paraId="4242A8F3" w14:textId="77777777" w:rsidR="001C168C" w:rsidRPr="001C168C" w:rsidRDefault="001C168C">
      <w:pPr>
        <w:autoSpaceDE w:val="0"/>
        <w:autoSpaceDN w:val="0"/>
        <w:spacing w:after="0" w:line="303" w:lineRule="exact"/>
        <w:ind w:left="80" w:right="320"/>
        <w:jc w:val="both"/>
        <w:rPr>
          <w:rFonts w:ascii="Arial" w:eastAsia="Calibri" w:hAnsi="Arial" w:cs="Arial"/>
          <w:color w:val="000000"/>
          <w:sz w:val="24"/>
          <w:szCs w:val="24"/>
          <w:lang w:val="es-CO"/>
        </w:rPr>
      </w:pPr>
    </w:p>
    <w:p w14:paraId="12585D34" w14:textId="77777777" w:rsidR="00066B85" w:rsidRPr="001C168C" w:rsidRDefault="008A5552">
      <w:pPr>
        <w:autoSpaceDE w:val="0"/>
        <w:autoSpaceDN w:val="0"/>
        <w:spacing w:after="0" w:line="303" w:lineRule="exact"/>
        <w:ind w:left="80" w:right="320"/>
        <w:jc w:val="both"/>
        <w:rPr>
          <w:rFonts w:ascii="Arial" w:hAnsi="Arial" w:cs="Arial"/>
          <w:sz w:val="24"/>
          <w:szCs w:val="24"/>
          <w:lang w:val="es-CO"/>
        </w:rPr>
      </w:pPr>
      <w:r w:rsidRPr="001C168C">
        <w:rPr>
          <w:rFonts w:ascii="Arial" w:eastAsia="Calibri" w:hAnsi="Arial" w:cs="Arial"/>
          <w:color w:val="000000"/>
          <w:sz w:val="24"/>
          <w:szCs w:val="24"/>
          <w:lang w:val="es-CO"/>
        </w:rPr>
        <w:t>La Corte considera que los elementos analizados con anterioridad, considerados como un todo, cuentan como evidencia objetiva del riesgo que, si bien no es concluyente, sí genera la carga en las autoridades del Estado de descartar las hipótesis de riesgo que se plantean antes de continuar profundizando la actividad riesgosa.</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 Por otra parte, son evidencia objetiva de un riesgo significativo. Los riesgos que se indican, de ser ciertos, no serían despreciables. </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Los abortos involuntarios, el cáncer, las afectaciones al sistema respiratorio y las enfermedades </w:t>
      </w:r>
      <w:r w:rsidR="001C168C" w:rsidRPr="001C168C">
        <w:rPr>
          <w:rFonts w:ascii="Arial" w:eastAsia="Calibri" w:hAnsi="Arial" w:cs="Arial"/>
          <w:color w:val="000000"/>
          <w:sz w:val="24"/>
          <w:szCs w:val="24"/>
          <w:lang w:val="es-CO"/>
        </w:rPr>
        <w:t>gastrointestinales</w:t>
      </w:r>
      <w:r w:rsidRPr="001C168C">
        <w:rPr>
          <w:rFonts w:ascii="Arial" w:eastAsia="Calibri" w:hAnsi="Arial" w:cs="Arial"/>
          <w:color w:val="000000"/>
          <w:sz w:val="24"/>
          <w:szCs w:val="24"/>
          <w:lang w:val="es-CO"/>
        </w:rPr>
        <w:t xml:space="preserve"> son afectaciones importantes que el Estado debe evitar en desarrollo del debe</w:t>
      </w:r>
      <w:r w:rsidR="001C168C" w:rsidRPr="001C168C">
        <w:rPr>
          <w:rFonts w:ascii="Arial" w:eastAsia="Calibri" w:hAnsi="Arial" w:cs="Arial"/>
          <w:color w:val="000000"/>
          <w:sz w:val="24"/>
          <w:szCs w:val="24"/>
          <w:lang w:val="es-CO"/>
        </w:rPr>
        <w:t>r</w:t>
      </w:r>
      <w:r w:rsidRPr="001C168C">
        <w:rPr>
          <w:rFonts w:ascii="Arial" w:eastAsia="Calibri" w:hAnsi="Arial" w:cs="Arial"/>
          <w:color w:val="000000"/>
          <w:sz w:val="24"/>
          <w:szCs w:val="24"/>
          <w:lang w:val="es-CO"/>
        </w:rPr>
        <w:t xml:space="preserve"> constitucional de garantía del derecho fundamental a la salud.</w:t>
      </w:r>
    </w:p>
    <w:p w14:paraId="62FC4F15" w14:textId="77777777" w:rsidR="00066B85" w:rsidRPr="001C168C" w:rsidRDefault="00066B85">
      <w:pPr>
        <w:autoSpaceDE w:val="0"/>
        <w:autoSpaceDN w:val="0"/>
        <w:spacing w:after="0" w:line="285" w:lineRule="exact"/>
        <w:jc w:val="both"/>
        <w:rPr>
          <w:rFonts w:ascii="Arial" w:eastAsia="SimSun" w:hAnsi="Arial" w:cs="Arial"/>
          <w:color w:val="000000"/>
          <w:sz w:val="24"/>
          <w:szCs w:val="24"/>
          <w:lang w:val="es-CO"/>
        </w:rPr>
      </w:pPr>
    </w:p>
    <w:p w14:paraId="0472C581" w14:textId="77777777" w:rsidR="00066B85" w:rsidRPr="001C168C" w:rsidRDefault="008A5552" w:rsidP="001C168C">
      <w:pPr>
        <w:autoSpaceDE w:val="0"/>
        <w:autoSpaceDN w:val="0"/>
        <w:spacing w:after="0" w:line="240" w:lineRule="auto"/>
        <w:ind w:left="80" w:right="320"/>
        <w:jc w:val="both"/>
        <w:rPr>
          <w:rFonts w:ascii="Arial" w:hAnsi="Arial" w:cs="Arial"/>
          <w:sz w:val="24"/>
          <w:szCs w:val="24"/>
          <w:lang w:val="es-CO"/>
        </w:rPr>
      </w:pPr>
      <w:r w:rsidRPr="001C168C">
        <w:rPr>
          <w:rFonts w:ascii="Arial" w:eastAsia="Calibri" w:hAnsi="Arial" w:cs="Arial"/>
          <w:color w:val="000000"/>
          <w:sz w:val="24"/>
          <w:szCs w:val="24"/>
          <w:lang w:val="es-CO"/>
        </w:rPr>
        <w:t>La Corte considera entonces que se cumplen los dos primeros pasos de la aplicación judicial del principio de precaución, al quedar establecida, con base en evidencia objetiva, la posibilidad de un riesgo significativo de afectaciones a la salud causadas por las aspersiones de cultivos de coca con glifosato. Pasa entonces la Corte a revisar la razonabilidad constitucional de la regulación expedida e implementada por el Estado</w:t>
      </w:r>
      <w:r w:rsidR="001C168C" w:rsidRPr="001C168C">
        <w:rPr>
          <w:rFonts w:ascii="Arial" w:eastAsia="Calibri" w:hAnsi="Arial" w:cs="Arial"/>
          <w:color w:val="000000"/>
          <w:sz w:val="24"/>
          <w:szCs w:val="24"/>
          <w:lang w:val="es-CO"/>
        </w:rPr>
        <w:t xml:space="preserve"> para controlar ese riesgo.</w:t>
      </w:r>
    </w:p>
    <w:p w14:paraId="420F966B" w14:textId="77777777" w:rsidR="00066B85" w:rsidRPr="001C168C" w:rsidRDefault="00066B85" w:rsidP="001C168C">
      <w:pPr>
        <w:autoSpaceDE w:val="0"/>
        <w:autoSpaceDN w:val="0"/>
        <w:spacing w:after="0" w:line="240" w:lineRule="auto"/>
        <w:jc w:val="both"/>
        <w:rPr>
          <w:rFonts w:ascii="Arial" w:eastAsia="SimSun" w:hAnsi="Arial" w:cs="Arial"/>
          <w:color w:val="000000"/>
          <w:sz w:val="24"/>
          <w:szCs w:val="24"/>
          <w:lang w:val="es-CO"/>
        </w:rPr>
      </w:pPr>
    </w:p>
    <w:p w14:paraId="6B0A5552" w14:textId="77777777" w:rsidR="00066B85" w:rsidRPr="001C168C" w:rsidRDefault="001C168C" w:rsidP="001C168C">
      <w:pPr>
        <w:autoSpaceDE w:val="0"/>
        <w:autoSpaceDN w:val="0"/>
        <w:spacing w:after="0" w:line="240" w:lineRule="auto"/>
        <w:ind w:left="80" w:right="320"/>
        <w:jc w:val="both"/>
        <w:rPr>
          <w:rFonts w:ascii="Arial" w:hAnsi="Arial" w:cs="Arial"/>
          <w:sz w:val="24"/>
          <w:szCs w:val="24"/>
          <w:lang w:val="es-CO"/>
        </w:rPr>
        <w:sectPr w:rsidR="00066B85" w:rsidRPr="001C168C">
          <w:type w:val="continuous"/>
          <w:pgSz w:w="11900" w:h="13640"/>
          <w:pgMar w:top="720" w:right="1920" w:bottom="1340" w:left="1920" w:header="360" w:footer="1100" w:gutter="0"/>
          <w:cols w:space="720"/>
        </w:sectPr>
      </w:pPr>
      <w:r w:rsidRPr="001C168C">
        <w:rPr>
          <w:rFonts w:ascii="Arial" w:eastAsia="Calibri" w:hAnsi="Arial" w:cs="Arial"/>
          <w:color w:val="000000"/>
          <w:sz w:val="24"/>
          <w:szCs w:val="24"/>
          <w:lang w:val="es-CO"/>
        </w:rPr>
        <w:t xml:space="preserve">En otras palabras, </w:t>
      </w:r>
      <w:r w:rsidR="008A5552" w:rsidRPr="001C168C">
        <w:rPr>
          <w:rFonts w:ascii="Arial" w:eastAsia="Calibri" w:hAnsi="Arial" w:cs="Arial"/>
          <w:color w:val="000000"/>
          <w:sz w:val="24"/>
          <w:szCs w:val="24"/>
          <w:lang w:val="es-CO"/>
        </w:rPr>
        <w:t xml:space="preserve">mientras no se compruebe que el glifosato no ocasiona riesgos significativos para la salud, no es viable emplearlo en la lucha contra la producción de </w:t>
      </w:r>
      <w:r w:rsidRPr="001C168C">
        <w:rPr>
          <w:rFonts w:ascii="Arial" w:eastAsia="Calibri" w:hAnsi="Arial" w:cs="Arial"/>
          <w:color w:val="000000"/>
          <w:sz w:val="24"/>
          <w:szCs w:val="24"/>
          <w:lang w:val="es-CO"/>
        </w:rPr>
        <w:t>cultivos</w:t>
      </w:r>
      <w:r w:rsidR="008A5552" w:rsidRPr="001C168C">
        <w:rPr>
          <w:rFonts w:ascii="Arial" w:eastAsia="Calibri" w:hAnsi="Arial" w:cs="Arial"/>
          <w:color w:val="000000"/>
          <w:sz w:val="24"/>
          <w:szCs w:val="24"/>
          <w:lang w:val="es-CO"/>
        </w:rPr>
        <w:t xml:space="preserve"> ilícitos. Esta línea jurisprudencial plantea un debate constitucional: </w:t>
      </w:r>
      <w:r w:rsidRPr="001C168C">
        <w:rPr>
          <w:rFonts w:ascii="Arial" w:eastAsia="Calibri" w:hAnsi="Arial" w:cs="Arial"/>
          <w:color w:val="000000"/>
          <w:sz w:val="24"/>
          <w:szCs w:val="24"/>
          <w:lang w:val="es-CO"/>
        </w:rPr>
        <w:t>¿</w:t>
      </w:r>
      <w:r w:rsidR="008A5552" w:rsidRPr="001C168C">
        <w:rPr>
          <w:rFonts w:ascii="Arial" w:eastAsia="Calibri" w:hAnsi="Arial" w:cs="Arial"/>
          <w:color w:val="000000"/>
          <w:sz w:val="24"/>
          <w:szCs w:val="24"/>
          <w:lang w:val="es-CO"/>
        </w:rPr>
        <w:t>es lícito reanudar aspersiones, sin la existencia de la prue</w:t>
      </w:r>
      <w:r w:rsidRPr="001C168C">
        <w:rPr>
          <w:rFonts w:ascii="Arial" w:eastAsia="Calibri" w:hAnsi="Arial" w:cs="Arial"/>
          <w:color w:val="000000"/>
          <w:sz w:val="24"/>
          <w:szCs w:val="24"/>
          <w:lang w:val="es-CO"/>
        </w:rPr>
        <w:t xml:space="preserve">ba científica? La respuesta es, </w:t>
      </w:r>
      <w:r w:rsidR="008A5552" w:rsidRPr="001C168C">
        <w:rPr>
          <w:rFonts w:ascii="Arial" w:eastAsia="Calibri" w:hAnsi="Arial" w:cs="Arial"/>
          <w:color w:val="000000"/>
          <w:sz w:val="24"/>
          <w:szCs w:val="24"/>
          <w:lang w:val="es-CO"/>
        </w:rPr>
        <w:t>si es viable, sobre la base de que supere un “test de razonabilidad”. En efecto, todo dependerá de contextos concretos, en los cuales se demuestre que la aspersión es un mecanismo "imperioso” para proteger derechos fundamentales que preceden en el caso particular, a la salvaguarda de la salud e integridad personal, al principio de precaución y</w:t>
      </w:r>
      <w:r>
        <w:rPr>
          <w:rFonts w:ascii="Arial" w:eastAsia="Calibri" w:hAnsi="Arial" w:cs="Arial"/>
          <w:color w:val="000000"/>
          <w:sz w:val="24"/>
          <w:szCs w:val="24"/>
          <w:lang w:val="es-CO"/>
        </w:rPr>
        <w:t xml:space="preserve"> a la participación ciudadana (</w:t>
      </w:r>
      <w:r w:rsidR="008A5552" w:rsidRPr="001C168C">
        <w:rPr>
          <w:rFonts w:ascii="Arial" w:eastAsia="Calibri" w:hAnsi="Arial" w:cs="Arial"/>
          <w:color w:val="000000"/>
          <w:sz w:val="24"/>
          <w:szCs w:val="24"/>
          <w:lang w:val="es-CO"/>
        </w:rPr>
        <w:t>derecho a la consulta previa).</w:t>
      </w:r>
    </w:p>
    <w:p w14:paraId="06780B73" w14:textId="77777777" w:rsidR="00066B85" w:rsidRPr="001C168C" w:rsidRDefault="008A5552" w:rsidP="001C168C">
      <w:pPr>
        <w:autoSpaceDE w:val="0"/>
        <w:autoSpaceDN w:val="0"/>
        <w:spacing w:after="0" w:line="312" w:lineRule="exact"/>
        <w:ind w:left="60" w:right="280"/>
        <w:jc w:val="both"/>
        <w:rPr>
          <w:rFonts w:ascii="Arial" w:eastAsia="Calibri" w:hAnsi="Arial" w:cs="Arial"/>
          <w:color w:val="000000"/>
          <w:sz w:val="24"/>
          <w:szCs w:val="24"/>
          <w:lang w:val="es-CO"/>
        </w:rPr>
      </w:pPr>
      <w:r w:rsidRPr="001C168C">
        <w:rPr>
          <w:rFonts w:ascii="Arial" w:eastAsia="Calibri" w:hAnsi="Arial" w:cs="Arial"/>
          <w:color w:val="000000"/>
          <w:sz w:val="24"/>
          <w:szCs w:val="24"/>
          <w:lang w:val="es-CO"/>
        </w:rPr>
        <w:lastRenderedPageBreak/>
        <w:t>Esta es la situación que se plantea en la actual lucha contra las drogas en Colombia</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el Estado es garante de la e</w:t>
      </w:r>
      <w:r w:rsidR="001C168C" w:rsidRPr="001C168C">
        <w:rPr>
          <w:rFonts w:ascii="Arial" w:eastAsia="Calibri" w:hAnsi="Arial" w:cs="Arial"/>
          <w:color w:val="000000"/>
          <w:sz w:val="24"/>
          <w:szCs w:val="24"/>
          <w:lang w:val="es-CO"/>
        </w:rPr>
        <w:t xml:space="preserve">vitación de crímenes de guerra, pero también </w:t>
      </w:r>
      <w:r w:rsidRPr="001C168C">
        <w:rPr>
          <w:rFonts w:ascii="Arial" w:eastAsia="Calibri" w:hAnsi="Arial" w:cs="Arial"/>
          <w:color w:val="000000"/>
          <w:sz w:val="24"/>
          <w:szCs w:val="24"/>
          <w:lang w:val="es-CO"/>
        </w:rPr>
        <w:t>de la vida e integridad de todos los habitantes, y otros principios como el de precaució</w:t>
      </w:r>
      <w:r w:rsidR="001C168C" w:rsidRPr="001C168C">
        <w:rPr>
          <w:rFonts w:ascii="Arial" w:eastAsia="Calibri" w:hAnsi="Arial" w:cs="Arial"/>
          <w:color w:val="000000"/>
          <w:sz w:val="24"/>
          <w:szCs w:val="24"/>
          <w:lang w:val="es-CO"/>
        </w:rPr>
        <w:t>n y participación democrática. ¿</w:t>
      </w:r>
      <w:r w:rsidRPr="001C168C">
        <w:rPr>
          <w:rFonts w:ascii="Arial" w:eastAsia="Calibri" w:hAnsi="Arial" w:cs="Arial"/>
          <w:color w:val="000000"/>
          <w:sz w:val="24"/>
          <w:szCs w:val="24"/>
          <w:lang w:val="es-CO"/>
        </w:rPr>
        <w:t>Qué</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sucede cuando estos deberes entran en </w:t>
      </w:r>
      <w:r w:rsidR="001C168C" w:rsidRPr="001C168C">
        <w:rPr>
          <w:rFonts w:ascii="Arial" w:eastAsia="Calibri" w:hAnsi="Arial" w:cs="Arial"/>
          <w:color w:val="000000"/>
          <w:sz w:val="24"/>
          <w:szCs w:val="24"/>
          <w:lang w:val="es-CO"/>
        </w:rPr>
        <w:t>colisión?</w:t>
      </w:r>
      <w:r w:rsidR="001C168C">
        <w:rPr>
          <w:rFonts w:ascii="Arial" w:eastAsia="Calibri" w:hAnsi="Arial" w:cs="Arial"/>
          <w:color w:val="000000"/>
          <w:sz w:val="24"/>
          <w:szCs w:val="24"/>
          <w:lang w:val="es-CO"/>
        </w:rPr>
        <w:t xml:space="preserve"> </w:t>
      </w:r>
      <w:r w:rsidR="001C168C" w:rsidRPr="001C168C">
        <w:rPr>
          <w:rFonts w:ascii="Arial" w:eastAsia="Calibri" w:hAnsi="Arial" w:cs="Arial"/>
          <w:color w:val="000000"/>
          <w:sz w:val="24"/>
          <w:szCs w:val="24"/>
          <w:lang w:val="es-CO"/>
        </w:rPr>
        <w:t>¿Qué pasa</w:t>
      </w:r>
      <w:r w:rsidRPr="001C168C">
        <w:rPr>
          <w:rFonts w:ascii="Arial" w:eastAsia="Calibri" w:hAnsi="Arial" w:cs="Arial"/>
          <w:color w:val="000000"/>
          <w:sz w:val="24"/>
          <w:szCs w:val="24"/>
          <w:lang w:val="es-CO"/>
        </w:rPr>
        <w:t xml:space="preserve"> cuando la aspersión es necesaria para evitar que gr</w:t>
      </w:r>
      <w:r w:rsidR="001C168C" w:rsidRPr="001C168C">
        <w:rPr>
          <w:rFonts w:ascii="Arial" w:eastAsia="Calibri" w:hAnsi="Arial" w:cs="Arial"/>
          <w:color w:val="000000"/>
          <w:sz w:val="24"/>
          <w:szCs w:val="24"/>
          <w:lang w:val="es-CO"/>
        </w:rPr>
        <w:t xml:space="preserve">upos armados al margen de la ley </w:t>
      </w:r>
      <w:r w:rsidRPr="001C168C">
        <w:rPr>
          <w:rFonts w:ascii="Arial" w:eastAsia="Calibri" w:hAnsi="Arial" w:cs="Arial"/>
          <w:color w:val="000000"/>
          <w:sz w:val="24"/>
          <w:szCs w:val="24"/>
          <w:lang w:val="es-CO"/>
        </w:rPr>
        <w:t xml:space="preserve">coloquen de escudo a la población civil para obstaculizar la lucha contra el </w:t>
      </w:r>
      <w:r w:rsidR="001C168C" w:rsidRPr="001C168C">
        <w:rPr>
          <w:rFonts w:ascii="Arial" w:eastAsia="Calibri" w:hAnsi="Arial" w:cs="Arial"/>
          <w:color w:val="000000"/>
          <w:sz w:val="24"/>
          <w:szCs w:val="24"/>
          <w:lang w:val="es-CO"/>
        </w:rPr>
        <w:t>narcotráfico?</w:t>
      </w:r>
      <w:r w:rsidRPr="001C168C">
        <w:rPr>
          <w:rFonts w:ascii="Arial" w:eastAsia="Calibri" w:hAnsi="Arial" w:cs="Arial"/>
          <w:color w:val="000000"/>
          <w:sz w:val="24"/>
          <w:szCs w:val="24"/>
          <w:lang w:val="es-CO"/>
        </w:rPr>
        <w:t xml:space="preserve"> Una respuesta plausible, puede ser la siguiente</w:t>
      </w:r>
      <w:r w:rsidR="001C168C" w:rsidRPr="001C168C">
        <w:rPr>
          <w:rFonts w:ascii="Arial" w:eastAsia="Calibri" w:hAnsi="Arial" w:cs="Arial"/>
          <w:color w:val="000000"/>
          <w:sz w:val="24"/>
          <w:szCs w:val="24"/>
          <w:lang w:val="es-CO"/>
        </w:rPr>
        <w:t>,</w:t>
      </w:r>
      <w:r w:rsidRPr="001C168C">
        <w:rPr>
          <w:rFonts w:ascii="Arial" w:eastAsia="Calibri" w:hAnsi="Arial" w:cs="Arial"/>
          <w:color w:val="000000"/>
          <w:sz w:val="24"/>
          <w:szCs w:val="24"/>
          <w:lang w:val="es-CO"/>
        </w:rPr>
        <w:t xml:space="preserve"> si el deber de evitación de un </w:t>
      </w:r>
      <w:r w:rsidR="001C168C" w:rsidRPr="001C168C">
        <w:rPr>
          <w:rFonts w:ascii="Arial" w:eastAsia="Calibri" w:hAnsi="Arial" w:cs="Arial"/>
          <w:color w:val="000000"/>
          <w:sz w:val="24"/>
          <w:szCs w:val="24"/>
          <w:lang w:val="es-CO"/>
        </w:rPr>
        <w:t>crimen de guerra tiene en el contexto particular</w:t>
      </w:r>
      <w:r w:rsidRPr="001C168C">
        <w:rPr>
          <w:rFonts w:ascii="Arial" w:eastAsia="Calibri" w:hAnsi="Arial" w:cs="Arial"/>
          <w:color w:val="000000"/>
          <w:sz w:val="24"/>
          <w:szCs w:val="24"/>
          <w:lang w:val="es-CO"/>
        </w:rPr>
        <w:t xml:space="preserve"> más peso que la puesta en peligro de la vida e integridad de la población, la precaución de daños y la participación, es </w:t>
      </w:r>
      <w:r w:rsidR="001C168C" w:rsidRPr="001C168C">
        <w:rPr>
          <w:rFonts w:ascii="Arial" w:eastAsia="Calibri" w:hAnsi="Arial" w:cs="Arial"/>
          <w:color w:val="000000"/>
          <w:sz w:val="24"/>
          <w:szCs w:val="24"/>
          <w:lang w:val="es-CO"/>
        </w:rPr>
        <w:t>viable utilizar la aspersión, aú</w:t>
      </w:r>
      <w:r w:rsidRPr="001C168C">
        <w:rPr>
          <w:rFonts w:ascii="Arial" w:eastAsia="Calibri" w:hAnsi="Arial" w:cs="Arial"/>
          <w:color w:val="000000"/>
          <w:sz w:val="24"/>
          <w:szCs w:val="24"/>
          <w:lang w:val="es-CO"/>
        </w:rPr>
        <w:t>n sin la existencia de la evidencia científica que corro</w:t>
      </w:r>
      <w:r w:rsidR="001C168C" w:rsidRPr="001C168C">
        <w:rPr>
          <w:rFonts w:ascii="Arial" w:eastAsia="Calibri" w:hAnsi="Arial" w:cs="Arial"/>
          <w:color w:val="000000"/>
          <w:sz w:val="24"/>
          <w:szCs w:val="24"/>
          <w:lang w:val="es-CO"/>
        </w:rPr>
        <w:t xml:space="preserve">bore la inocuidad del producto y </w:t>
      </w:r>
      <w:r w:rsidRPr="001C168C">
        <w:rPr>
          <w:rFonts w:ascii="Arial" w:eastAsia="Calibri" w:hAnsi="Arial" w:cs="Arial"/>
          <w:color w:val="000000"/>
          <w:sz w:val="24"/>
          <w:szCs w:val="24"/>
          <w:lang w:val="es-CO"/>
        </w:rPr>
        <w:t>sin consulta previa.</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Esta hipótesis se sustenta con el principio constitucional de proporcionalidad.</w:t>
      </w:r>
    </w:p>
    <w:p w14:paraId="465BFA8B" w14:textId="77777777" w:rsidR="001C168C" w:rsidRPr="001C168C" w:rsidRDefault="001C168C" w:rsidP="001C168C">
      <w:pPr>
        <w:autoSpaceDE w:val="0"/>
        <w:autoSpaceDN w:val="0"/>
        <w:spacing w:after="0" w:line="355" w:lineRule="exact"/>
        <w:ind w:left="60" w:right="280"/>
        <w:jc w:val="both"/>
        <w:rPr>
          <w:rFonts w:ascii="Arial" w:hAnsi="Arial" w:cs="Arial"/>
          <w:sz w:val="24"/>
          <w:szCs w:val="24"/>
          <w:lang w:val="es-CO"/>
        </w:rPr>
      </w:pPr>
    </w:p>
    <w:p w14:paraId="51A77013" w14:textId="77777777" w:rsidR="00066B85" w:rsidRPr="001C168C" w:rsidRDefault="008A5552" w:rsidP="001C168C">
      <w:pPr>
        <w:autoSpaceDE w:val="0"/>
        <w:autoSpaceDN w:val="0"/>
        <w:spacing w:after="0" w:line="240" w:lineRule="auto"/>
        <w:ind w:left="60" w:right="280"/>
        <w:jc w:val="both"/>
        <w:rPr>
          <w:rFonts w:ascii="Arial" w:hAnsi="Arial" w:cs="Arial"/>
          <w:sz w:val="24"/>
          <w:szCs w:val="24"/>
          <w:lang w:val="es-CO"/>
        </w:rPr>
      </w:pPr>
      <w:r w:rsidRPr="001C168C">
        <w:rPr>
          <w:rFonts w:ascii="Arial" w:eastAsia="Calibri" w:hAnsi="Arial" w:cs="Arial"/>
          <w:color w:val="000000"/>
          <w:sz w:val="24"/>
          <w:szCs w:val="24"/>
          <w:lang w:val="es-CO"/>
        </w:rPr>
        <w:t>La estructura</w:t>
      </w:r>
      <w:r w:rsidR="001C168C" w:rsidRPr="001C168C">
        <w:rPr>
          <w:rFonts w:ascii="Arial" w:eastAsia="Calibri" w:hAnsi="Arial" w:cs="Arial"/>
          <w:color w:val="000000"/>
          <w:sz w:val="24"/>
          <w:szCs w:val="24"/>
          <w:lang w:val="es-CO"/>
        </w:rPr>
        <w:t xml:space="preserve"> de este razonamiento (</w:t>
      </w:r>
      <w:r w:rsidRPr="001C168C">
        <w:rPr>
          <w:rFonts w:ascii="Arial" w:eastAsia="Calibri" w:hAnsi="Arial" w:cs="Arial"/>
          <w:color w:val="000000"/>
          <w:sz w:val="24"/>
          <w:szCs w:val="24"/>
          <w:lang w:val="es-CO"/>
        </w:rPr>
        <w:t xml:space="preserve">proporcionalidad constitucional), es de medio-fin. </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El medio consiste en restringir un derecho para proteger otro bien constitucional. </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Para saber si la injerencia es proporcional,</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se hace una correlac</w:t>
      </w:r>
      <w:r w:rsidR="001C168C" w:rsidRPr="001C168C">
        <w:rPr>
          <w:rFonts w:ascii="Arial" w:eastAsia="Calibri" w:hAnsi="Arial" w:cs="Arial"/>
          <w:color w:val="000000"/>
          <w:sz w:val="24"/>
          <w:szCs w:val="24"/>
          <w:lang w:val="es-CO"/>
        </w:rPr>
        <w:t xml:space="preserve">ión de los medios con los fines </w:t>
      </w:r>
      <w:r w:rsidRPr="001C168C">
        <w:rPr>
          <w:rFonts w:ascii="Arial" w:eastAsia="Calibri" w:hAnsi="Arial" w:cs="Arial"/>
          <w:color w:val="000000"/>
          <w:sz w:val="24"/>
          <w:szCs w:val="24"/>
          <w:lang w:val="es-CO"/>
        </w:rPr>
        <w:t>a través de tres sub-principios: adecuación, necesidad y proporcionalidad en sentido estricto.</w:t>
      </w:r>
      <w:r w:rsidR="001C168C" w:rsidRP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Antes de la correlación, debe establecerse si el medio y el fin, en </w:t>
      </w:r>
      <w:r w:rsidR="001C168C" w:rsidRPr="001C168C">
        <w:rPr>
          <w:rFonts w:ascii="Arial" w:eastAsia="Calibri" w:hAnsi="Arial" w:cs="Arial"/>
          <w:color w:val="000000"/>
          <w:sz w:val="24"/>
          <w:szCs w:val="24"/>
          <w:lang w:val="es-CO"/>
        </w:rPr>
        <w:t>sí</w:t>
      </w:r>
      <w:r w:rsidRPr="001C168C">
        <w:rPr>
          <w:rFonts w:ascii="Arial" w:eastAsia="Calibri" w:hAnsi="Arial" w:cs="Arial"/>
          <w:color w:val="000000"/>
          <w:sz w:val="24"/>
          <w:szCs w:val="24"/>
          <w:lang w:val="es-CO"/>
        </w:rPr>
        <w:t xml:space="preserve"> mismos, son </w:t>
      </w:r>
      <w:r w:rsidR="001C168C" w:rsidRPr="001C168C">
        <w:rPr>
          <w:rFonts w:ascii="Arial" w:eastAsia="Calibri" w:hAnsi="Arial" w:cs="Arial"/>
          <w:color w:val="000000"/>
          <w:sz w:val="24"/>
          <w:szCs w:val="24"/>
          <w:lang w:val="es-CO"/>
        </w:rPr>
        <w:t>legítimos (</w:t>
      </w:r>
      <w:r w:rsidRPr="001C168C">
        <w:rPr>
          <w:rFonts w:ascii="Arial" w:eastAsia="Calibri" w:hAnsi="Arial" w:cs="Arial"/>
          <w:color w:val="000000"/>
          <w:sz w:val="24"/>
          <w:szCs w:val="24"/>
          <w:lang w:val="es-CO"/>
        </w:rPr>
        <w:t xml:space="preserve">no </w:t>
      </w:r>
      <w:r w:rsidR="001C168C" w:rsidRPr="001C168C">
        <w:rPr>
          <w:rFonts w:ascii="Arial" w:eastAsia="Calibri" w:hAnsi="Arial" w:cs="Arial"/>
          <w:color w:val="000000"/>
          <w:sz w:val="24"/>
          <w:szCs w:val="24"/>
          <w:lang w:val="es-CO"/>
        </w:rPr>
        <w:t>prohibición)</w:t>
      </w:r>
      <w:r w:rsidRPr="001C168C">
        <w:rPr>
          <w:rFonts w:ascii="Arial" w:eastAsia="Calibri" w:hAnsi="Arial" w:cs="Arial"/>
          <w:color w:val="000000"/>
          <w:sz w:val="24"/>
          <w:szCs w:val="24"/>
          <w:lang w:val="es-CO"/>
        </w:rPr>
        <w:t xml:space="preserve"> (Ver: El principio de proporcionalidad. Javier Barnes. Publicación: Instituto Nacional de Administración Publica. España.1998)</w:t>
      </w:r>
    </w:p>
    <w:p w14:paraId="1F8370FB" w14:textId="77777777" w:rsidR="00066B85" w:rsidRPr="001C168C" w:rsidRDefault="00066B85">
      <w:pPr>
        <w:autoSpaceDE w:val="0"/>
        <w:autoSpaceDN w:val="0"/>
        <w:spacing w:after="0" w:line="298" w:lineRule="exact"/>
        <w:jc w:val="both"/>
        <w:rPr>
          <w:rFonts w:ascii="Arial" w:eastAsia="SimSun" w:hAnsi="Arial" w:cs="Arial"/>
          <w:color w:val="000000"/>
          <w:sz w:val="24"/>
          <w:szCs w:val="24"/>
          <w:lang w:val="es-CO"/>
        </w:rPr>
      </w:pPr>
    </w:p>
    <w:p w14:paraId="10920C20" w14:textId="77777777" w:rsidR="00066B85" w:rsidRPr="001C168C" w:rsidRDefault="008A5552" w:rsidP="001C168C">
      <w:pPr>
        <w:autoSpaceDE w:val="0"/>
        <w:autoSpaceDN w:val="0"/>
        <w:spacing w:after="0" w:line="240" w:lineRule="auto"/>
        <w:ind w:left="60" w:right="280"/>
        <w:jc w:val="both"/>
        <w:rPr>
          <w:rFonts w:ascii="Arial" w:hAnsi="Arial" w:cs="Arial"/>
          <w:sz w:val="24"/>
          <w:szCs w:val="24"/>
          <w:lang w:val="es-CO"/>
        </w:rPr>
      </w:pPr>
      <w:r w:rsidRPr="001C168C">
        <w:rPr>
          <w:rFonts w:ascii="Arial" w:eastAsia="Calibri" w:hAnsi="Arial" w:cs="Arial"/>
          <w:color w:val="000000"/>
          <w:sz w:val="24"/>
          <w:szCs w:val="24"/>
          <w:lang w:val="es-CO"/>
        </w:rPr>
        <w:t>En reiterados precedentes, la Corte (ver: Sentencia C-022/96)) ha señalado sobre la estructura del principio constitucionalidad, lo siguiente:</w:t>
      </w:r>
    </w:p>
    <w:p w14:paraId="4DE7F147" w14:textId="77777777" w:rsidR="001C168C" w:rsidRDefault="001C168C" w:rsidP="001C168C">
      <w:pPr>
        <w:autoSpaceDE w:val="0"/>
        <w:autoSpaceDN w:val="0"/>
        <w:spacing w:after="0" w:line="240" w:lineRule="auto"/>
        <w:ind w:left="60" w:right="280"/>
        <w:jc w:val="both"/>
        <w:rPr>
          <w:rFonts w:ascii="Arial" w:eastAsia="Calibri" w:hAnsi="Arial" w:cs="Arial"/>
          <w:color w:val="000000"/>
          <w:sz w:val="24"/>
          <w:szCs w:val="24"/>
          <w:lang w:val="es-CO"/>
        </w:rPr>
      </w:pPr>
    </w:p>
    <w:p w14:paraId="56201FD6" w14:textId="77777777" w:rsidR="00066B85" w:rsidRPr="001C168C" w:rsidRDefault="001C168C" w:rsidP="001C168C">
      <w:pPr>
        <w:autoSpaceDE w:val="0"/>
        <w:autoSpaceDN w:val="0"/>
        <w:spacing w:after="0" w:line="240" w:lineRule="auto"/>
        <w:ind w:left="60" w:right="280"/>
        <w:jc w:val="both"/>
        <w:rPr>
          <w:rFonts w:ascii="Arial" w:eastAsia="Calibri" w:hAnsi="Arial" w:cs="Arial"/>
          <w:color w:val="000000"/>
          <w:sz w:val="24"/>
          <w:szCs w:val="24"/>
          <w:lang w:val="es-CO"/>
        </w:rPr>
      </w:pPr>
      <w:proofErr w:type="gramStart"/>
      <w:r w:rsidRPr="001C168C">
        <w:rPr>
          <w:rFonts w:ascii="Arial" w:eastAsia="Calibri" w:hAnsi="Arial" w:cs="Arial"/>
          <w:color w:val="000000"/>
          <w:sz w:val="24"/>
          <w:szCs w:val="24"/>
          <w:lang w:val="es-CO"/>
        </w:rPr>
        <w:t>“</w:t>
      </w:r>
      <w:r>
        <w:rPr>
          <w:rFonts w:ascii="Arial" w:eastAsia="Calibri" w:hAnsi="Arial" w:cs="Arial"/>
          <w:color w:val="000000"/>
          <w:sz w:val="24"/>
          <w:szCs w:val="24"/>
          <w:lang w:val="es-CO"/>
        </w:rPr>
        <w:t>..</w:t>
      </w:r>
      <w:proofErr w:type="gramEnd"/>
      <w:r w:rsidR="008A5552" w:rsidRPr="001C168C">
        <w:rPr>
          <w:rFonts w:ascii="Arial" w:eastAsia="Calibri" w:hAnsi="Arial" w:cs="Arial"/>
          <w:color w:val="000000"/>
          <w:sz w:val="24"/>
          <w:szCs w:val="24"/>
          <w:lang w:val="es-CO"/>
        </w:rPr>
        <w:t>La teoría jurídica alemana, partiendo de la jurisprudencia del Tribunal Constitucional Federal, ha mostrado cómo el concepto de razonabilidad puede ser aplicado satisfactoriamente sólo si se concreta en otro más específico, el de proporcionalidad</w:t>
      </w:r>
      <w:r>
        <w:rPr>
          <w:rFonts w:ascii="Arial" w:eastAsia="Calibri" w:hAnsi="Arial" w:cs="Arial"/>
          <w:color w:val="000000"/>
          <w:sz w:val="24"/>
          <w:szCs w:val="24"/>
          <w:lang w:val="es-CO"/>
        </w:rPr>
        <w:t xml:space="preserve"> </w:t>
      </w:r>
      <w:r w:rsidRPr="001C168C">
        <w:rPr>
          <w:rFonts w:ascii="Arial" w:eastAsia="Calibri" w:hAnsi="Arial" w:cs="Arial"/>
          <w:color w:val="000000"/>
          <w:sz w:val="16"/>
          <w:szCs w:val="16"/>
          <w:u w:val="single"/>
          <w:vertAlign w:val="superscript"/>
          <w:lang w:val="es-CO"/>
        </w:rPr>
        <w:t>14</w:t>
      </w:r>
      <w:r w:rsidR="008A5552" w:rsidRPr="001C168C">
        <w:rPr>
          <w:rFonts w:ascii="Arial" w:eastAsia="Calibri" w:hAnsi="Arial" w:cs="Arial"/>
          <w:color w:val="000000"/>
          <w:sz w:val="24"/>
          <w:szCs w:val="24"/>
          <w:lang w:val="es-CO"/>
        </w:rPr>
        <w:t>. El concepto de proporcionalidad sirve como punto de apoyo de la ponderación entre principios constitucionales:</w:t>
      </w:r>
      <w:r>
        <w:rPr>
          <w:rFonts w:ascii="Arial" w:eastAsia="Calibri" w:hAnsi="Arial" w:cs="Arial"/>
          <w:color w:val="000000"/>
          <w:sz w:val="24"/>
          <w:szCs w:val="24"/>
          <w:lang w:val="es-CO"/>
        </w:rPr>
        <w:t xml:space="preserve"> </w:t>
      </w:r>
      <w:r w:rsidR="008A5552" w:rsidRPr="001C168C">
        <w:rPr>
          <w:rFonts w:ascii="Arial" w:eastAsia="Calibri" w:hAnsi="Arial" w:cs="Arial"/>
          <w:color w:val="000000"/>
          <w:sz w:val="24"/>
          <w:szCs w:val="24"/>
          <w:lang w:val="es-CO"/>
        </w:rPr>
        <w:t>cuando dos principios entran en colisión, porque la aplicación de uno implica la reducción del campo de aplicación de otro, corresponde al juez constitucional determinar si esa reducción es proporcionada, a la luz de la impo</w:t>
      </w:r>
      <w:r>
        <w:rPr>
          <w:rFonts w:ascii="Arial" w:eastAsia="Calibri" w:hAnsi="Arial" w:cs="Arial"/>
          <w:color w:val="000000"/>
          <w:sz w:val="24"/>
          <w:szCs w:val="24"/>
          <w:lang w:val="es-CO"/>
        </w:rPr>
        <w:t xml:space="preserve">rtancia del principio afectado </w:t>
      </w:r>
      <w:r w:rsidRPr="001C168C">
        <w:rPr>
          <w:rFonts w:ascii="Arial" w:eastAsia="Calibri" w:hAnsi="Arial" w:cs="Arial"/>
          <w:color w:val="000000"/>
          <w:sz w:val="16"/>
          <w:szCs w:val="16"/>
          <w:u w:val="single"/>
          <w:vertAlign w:val="superscript"/>
          <w:lang w:val="es-CO"/>
        </w:rPr>
        <w:t>15</w:t>
      </w:r>
      <w:r>
        <w:rPr>
          <w:rFonts w:ascii="Arial" w:eastAsia="Calibri" w:hAnsi="Arial" w:cs="Arial"/>
          <w:color w:val="000000"/>
          <w:sz w:val="24"/>
          <w:szCs w:val="24"/>
          <w:lang w:val="es-CO"/>
        </w:rPr>
        <w:t>.</w:t>
      </w:r>
    </w:p>
    <w:p w14:paraId="297235ED" w14:textId="77777777" w:rsidR="00066B85" w:rsidRPr="001C168C" w:rsidRDefault="00066B85" w:rsidP="001C168C">
      <w:pPr>
        <w:autoSpaceDE w:val="0"/>
        <w:autoSpaceDN w:val="0"/>
        <w:spacing w:after="0" w:line="240" w:lineRule="auto"/>
        <w:jc w:val="both"/>
        <w:rPr>
          <w:rFonts w:ascii="Arial" w:eastAsia="SimSun" w:hAnsi="Arial" w:cs="Arial"/>
          <w:color w:val="000000"/>
          <w:sz w:val="24"/>
          <w:szCs w:val="24"/>
          <w:lang w:val="es-CO"/>
        </w:rPr>
      </w:pPr>
    </w:p>
    <w:p w14:paraId="1D8B8F21" w14:textId="77777777" w:rsidR="00066B85" w:rsidRPr="001C168C" w:rsidRDefault="008A5552" w:rsidP="001C168C">
      <w:pPr>
        <w:autoSpaceDE w:val="0"/>
        <w:autoSpaceDN w:val="0"/>
        <w:spacing w:after="0" w:line="240" w:lineRule="auto"/>
        <w:ind w:left="60" w:right="280"/>
        <w:jc w:val="both"/>
        <w:rPr>
          <w:rFonts w:ascii="Arial" w:hAnsi="Arial" w:cs="Arial"/>
          <w:sz w:val="24"/>
          <w:szCs w:val="24"/>
          <w:lang w:val="es-CO"/>
        </w:rPr>
      </w:pPr>
      <w:r w:rsidRPr="001C168C">
        <w:rPr>
          <w:rFonts w:ascii="Arial" w:eastAsia="Calibri" w:hAnsi="Arial" w:cs="Arial"/>
          <w:color w:val="000000"/>
          <w:sz w:val="24"/>
          <w:szCs w:val="24"/>
          <w:lang w:val="es-CO"/>
        </w:rPr>
        <w:t>El concepto de proporcionalidad comprende tres conceptos parciales:</w:t>
      </w:r>
      <w:r w:rsid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la </w:t>
      </w:r>
      <w:r w:rsidR="001C168C">
        <w:rPr>
          <w:rFonts w:ascii="Arial" w:eastAsia="Calibri" w:hAnsi="Arial" w:cs="Arial"/>
          <w:color w:val="000000"/>
          <w:sz w:val="24"/>
          <w:szCs w:val="24"/>
          <w:lang w:val="es-CO"/>
        </w:rPr>
        <w:t>a</w:t>
      </w:r>
      <w:r w:rsidRPr="001C168C">
        <w:rPr>
          <w:rFonts w:ascii="Arial" w:eastAsia="Calibri" w:hAnsi="Arial" w:cs="Arial"/>
          <w:color w:val="000000"/>
          <w:sz w:val="24"/>
          <w:szCs w:val="24"/>
          <w:lang w:val="es-CO"/>
        </w:rPr>
        <w:t>de</w:t>
      </w:r>
      <w:r w:rsidR="001C168C">
        <w:rPr>
          <w:rFonts w:ascii="Arial" w:eastAsia="Calibri" w:hAnsi="Arial" w:cs="Arial"/>
          <w:color w:val="000000"/>
          <w:sz w:val="24"/>
          <w:szCs w:val="24"/>
          <w:lang w:val="es-CO"/>
        </w:rPr>
        <w:t>cuación de</w:t>
      </w:r>
      <w:r w:rsidRPr="001C168C">
        <w:rPr>
          <w:rFonts w:ascii="Arial" w:eastAsia="Calibri" w:hAnsi="Arial" w:cs="Arial"/>
          <w:color w:val="000000"/>
          <w:sz w:val="24"/>
          <w:szCs w:val="24"/>
          <w:lang w:val="es-CO"/>
        </w:rPr>
        <w:t xml:space="preserve"> los medios escogidos para la consecución del fin perseguido,</w:t>
      </w:r>
      <w:r w:rsidR="001C168C">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la necesidad de la utilización </w:t>
      </w:r>
      <w:r w:rsidR="001C168C">
        <w:rPr>
          <w:rFonts w:ascii="Arial" w:eastAsia="Calibri" w:hAnsi="Arial" w:cs="Arial"/>
          <w:color w:val="000000"/>
          <w:sz w:val="24"/>
          <w:szCs w:val="24"/>
          <w:lang w:val="es-CO"/>
        </w:rPr>
        <w:t xml:space="preserve">de esos medios para el logro del fin </w:t>
      </w:r>
      <w:r w:rsidRPr="001C168C">
        <w:rPr>
          <w:rFonts w:ascii="Arial" w:eastAsia="Calibri" w:hAnsi="Arial" w:cs="Arial"/>
          <w:color w:val="000000"/>
          <w:sz w:val="24"/>
          <w:szCs w:val="24"/>
          <w:lang w:val="es-CO"/>
        </w:rPr>
        <w:t>(esto es, que no exista otro medio que pueda conducir al fin y que sacrifique en menor medida los principios constitucionales afectados por el uso de esos medios), y la proporcionalidad en sentido estricto en</w:t>
      </w:r>
      <w:r w:rsidR="001C168C">
        <w:rPr>
          <w:rFonts w:ascii="Arial" w:eastAsia="Calibri" w:hAnsi="Arial" w:cs="Arial"/>
          <w:color w:val="000000"/>
          <w:sz w:val="24"/>
          <w:szCs w:val="24"/>
          <w:lang w:val="es-CO"/>
        </w:rPr>
        <w:t>t</w:t>
      </w:r>
      <w:r w:rsidRPr="001C168C">
        <w:rPr>
          <w:rFonts w:ascii="Arial" w:eastAsia="Calibri" w:hAnsi="Arial" w:cs="Arial"/>
          <w:color w:val="000000"/>
          <w:sz w:val="24"/>
          <w:szCs w:val="24"/>
          <w:lang w:val="es-CO"/>
        </w:rPr>
        <w:t xml:space="preserve">re </w:t>
      </w:r>
      <w:r w:rsidRPr="001C168C">
        <w:rPr>
          <w:rFonts w:ascii="Arial" w:eastAsia="Calibri" w:hAnsi="Arial" w:cs="Arial"/>
          <w:color w:val="000000"/>
          <w:sz w:val="24"/>
          <w:szCs w:val="24"/>
          <w:lang w:val="es-CO"/>
        </w:rPr>
        <w:lastRenderedPageBreak/>
        <w:t>medios y fin, es decir, que el principio satisfecho por el logro de este fin no sacrifique principios constitucionalmente más importantes..."</w:t>
      </w:r>
    </w:p>
    <w:p w14:paraId="0DFEAA27" w14:textId="77777777" w:rsidR="00066B85" w:rsidRPr="001C168C" w:rsidRDefault="00066B85" w:rsidP="001C168C">
      <w:pPr>
        <w:autoSpaceDE w:val="0"/>
        <w:autoSpaceDN w:val="0"/>
        <w:spacing w:after="0" w:line="240" w:lineRule="auto"/>
        <w:jc w:val="both"/>
        <w:rPr>
          <w:rFonts w:ascii="Arial" w:eastAsia="SimSun" w:hAnsi="Arial" w:cs="Arial"/>
          <w:color w:val="000000"/>
          <w:sz w:val="24"/>
          <w:szCs w:val="24"/>
          <w:lang w:val="es-CO"/>
        </w:rPr>
      </w:pPr>
    </w:p>
    <w:p w14:paraId="7DD24061" w14:textId="77777777" w:rsidR="001C168C" w:rsidRDefault="008A5552" w:rsidP="001C168C">
      <w:pPr>
        <w:autoSpaceDE w:val="0"/>
        <w:autoSpaceDN w:val="0"/>
        <w:spacing w:after="0" w:line="240" w:lineRule="auto"/>
        <w:ind w:left="60" w:right="80"/>
        <w:jc w:val="both"/>
        <w:rPr>
          <w:rFonts w:ascii="Arial" w:hAnsi="Arial" w:cs="Arial"/>
          <w:sz w:val="24"/>
          <w:szCs w:val="24"/>
          <w:lang w:val="es-CO"/>
        </w:rPr>
      </w:pPr>
      <w:r w:rsidRPr="001C168C">
        <w:rPr>
          <w:rFonts w:ascii="Arial" w:eastAsia="Calibri" w:hAnsi="Arial" w:cs="Arial"/>
          <w:color w:val="000000"/>
          <w:sz w:val="24"/>
          <w:szCs w:val="24"/>
          <w:lang w:val="es-CO"/>
        </w:rPr>
        <w:t xml:space="preserve">En el caso de estudio, para saber si la </w:t>
      </w:r>
      <w:r w:rsidR="001C168C" w:rsidRPr="001C168C">
        <w:rPr>
          <w:rFonts w:ascii="Arial" w:eastAsia="Calibri" w:hAnsi="Arial" w:cs="Arial"/>
          <w:color w:val="000000"/>
          <w:sz w:val="24"/>
          <w:szCs w:val="24"/>
          <w:lang w:val="es-CO"/>
        </w:rPr>
        <w:t>utilización</w:t>
      </w:r>
      <w:r w:rsidRPr="001C168C">
        <w:rPr>
          <w:rFonts w:ascii="Arial" w:eastAsia="Calibri" w:hAnsi="Arial" w:cs="Arial"/>
          <w:color w:val="000000"/>
          <w:sz w:val="24"/>
          <w:szCs w:val="24"/>
          <w:lang w:val="es-CO"/>
        </w:rPr>
        <w:t xml:space="preserve"> de la aspersión con glifosato, para evitar crímenes de guerra es legítima, se requieren los siguientes pasos:</w:t>
      </w:r>
    </w:p>
    <w:p w14:paraId="05FCBB82" w14:textId="77777777" w:rsidR="001C168C" w:rsidRDefault="001C168C" w:rsidP="001C168C">
      <w:pPr>
        <w:autoSpaceDE w:val="0"/>
        <w:autoSpaceDN w:val="0"/>
        <w:spacing w:after="0" w:line="240" w:lineRule="auto"/>
        <w:ind w:left="60" w:right="80"/>
        <w:jc w:val="both"/>
        <w:rPr>
          <w:rFonts w:ascii="Arial" w:hAnsi="Arial" w:cs="Arial"/>
          <w:sz w:val="24"/>
          <w:szCs w:val="24"/>
          <w:lang w:val="es-CO"/>
        </w:rPr>
      </w:pPr>
    </w:p>
    <w:p w14:paraId="4BB21DDA" w14:textId="77777777" w:rsidR="00066B85" w:rsidRPr="001C168C" w:rsidRDefault="001C168C" w:rsidP="001C168C">
      <w:pPr>
        <w:autoSpaceDE w:val="0"/>
        <w:autoSpaceDN w:val="0"/>
        <w:spacing w:after="0" w:line="240" w:lineRule="auto"/>
        <w:ind w:left="60" w:right="80"/>
        <w:jc w:val="both"/>
        <w:rPr>
          <w:rFonts w:ascii="Arial" w:hAnsi="Arial" w:cs="Arial"/>
          <w:sz w:val="24"/>
          <w:szCs w:val="24"/>
          <w:lang w:val="es-CO"/>
        </w:rPr>
      </w:pPr>
      <w:r>
        <w:rPr>
          <w:rFonts w:ascii="Arial" w:eastAsia="Calibri" w:hAnsi="Arial" w:cs="Arial"/>
          <w:color w:val="000000"/>
          <w:sz w:val="24"/>
          <w:szCs w:val="24"/>
          <w:lang w:val="es-CO"/>
        </w:rPr>
        <w:t>1.La medida (</w:t>
      </w:r>
      <w:r w:rsidR="008A5552" w:rsidRPr="001C168C">
        <w:rPr>
          <w:rFonts w:ascii="Arial" w:eastAsia="Calibri" w:hAnsi="Arial" w:cs="Arial"/>
          <w:color w:val="000000"/>
          <w:sz w:val="24"/>
          <w:szCs w:val="24"/>
          <w:lang w:val="es-CO"/>
        </w:rPr>
        <w:t>la aspersión) debe ser un mecanismo idóneo para combatir el cultivo ilícito de la hoja de coca. En virtud del sub-principio de la adecuación, debe demostrar</w:t>
      </w:r>
      <w:r>
        <w:rPr>
          <w:rFonts w:ascii="Arial" w:eastAsia="Calibri" w:hAnsi="Arial" w:cs="Arial"/>
          <w:color w:val="000000"/>
          <w:sz w:val="24"/>
          <w:szCs w:val="24"/>
          <w:lang w:val="es-CO"/>
        </w:rPr>
        <w:t xml:space="preserve">se con estudios científicos que </w:t>
      </w:r>
      <w:r w:rsidR="008A5552" w:rsidRPr="001C168C">
        <w:rPr>
          <w:rFonts w:ascii="Arial" w:eastAsia="Calibri" w:hAnsi="Arial" w:cs="Arial"/>
          <w:color w:val="000000"/>
          <w:sz w:val="24"/>
          <w:szCs w:val="24"/>
          <w:lang w:val="es-CO"/>
        </w:rPr>
        <w:t>la aspersión, es eficaz para imped</w:t>
      </w:r>
      <w:r>
        <w:rPr>
          <w:rFonts w:ascii="Arial" w:eastAsia="Calibri" w:hAnsi="Arial" w:cs="Arial"/>
          <w:color w:val="000000"/>
          <w:sz w:val="24"/>
          <w:szCs w:val="24"/>
          <w:lang w:val="es-CO"/>
        </w:rPr>
        <w:t xml:space="preserve">ir la extensión de los cultivos, es decir, </w:t>
      </w:r>
      <w:r w:rsidR="008A5552" w:rsidRPr="001C168C">
        <w:rPr>
          <w:rFonts w:ascii="Arial" w:eastAsia="Calibri" w:hAnsi="Arial" w:cs="Arial"/>
          <w:color w:val="000000"/>
          <w:sz w:val="24"/>
          <w:szCs w:val="24"/>
          <w:lang w:val="es-CO"/>
        </w:rPr>
        <w:t xml:space="preserve">es apta para la consecución del fin constitucional que se busca: proteger la vida y la salud pública de millones de ciudadanos que tienen “adicción" a las drogas, en perjuicio de su integridad personal. </w:t>
      </w:r>
      <w:r w:rsidRPr="001C168C">
        <w:rPr>
          <w:rFonts w:ascii="Arial" w:eastAsia="Calibri" w:hAnsi="Arial" w:cs="Arial"/>
          <w:color w:val="000000"/>
          <w:sz w:val="24"/>
          <w:szCs w:val="24"/>
          <w:lang w:val="es-CO"/>
        </w:rPr>
        <w:t>Además,</w:t>
      </w:r>
      <w:r>
        <w:rPr>
          <w:rFonts w:ascii="Arial" w:eastAsia="Calibri" w:hAnsi="Arial" w:cs="Arial"/>
          <w:color w:val="000000"/>
          <w:sz w:val="24"/>
          <w:szCs w:val="24"/>
          <w:lang w:val="es-CO"/>
        </w:rPr>
        <w:t xml:space="preserve"> que</w:t>
      </w:r>
      <w:r w:rsidR="008A5552" w:rsidRPr="001C168C">
        <w:rPr>
          <w:rFonts w:ascii="Arial" w:eastAsia="Calibri" w:hAnsi="Arial" w:cs="Arial"/>
          <w:color w:val="000000"/>
          <w:sz w:val="24"/>
          <w:szCs w:val="24"/>
          <w:lang w:val="es-CO"/>
        </w:rPr>
        <w:t xml:space="preserve"> resulta idónea para la prevenir que los grupos armados utilicen a la población como escudos humanos (aptitud para prevenir crímenes de guerra).</w:t>
      </w:r>
    </w:p>
    <w:p w14:paraId="0B3013CF" w14:textId="77777777" w:rsidR="00066B85" w:rsidRPr="001C168C" w:rsidRDefault="00066B85" w:rsidP="001C168C">
      <w:pPr>
        <w:autoSpaceDE w:val="0"/>
        <w:autoSpaceDN w:val="0"/>
        <w:spacing w:after="0" w:line="240" w:lineRule="auto"/>
        <w:jc w:val="both"/>
        <w:rPr>
          <w:rFonts w:ascii="Arial" w:eastAsia="SimSun" w:hAnsi="Arial" w:cs="Arial"/>
          <w:color w:val="000000"/>
          <w:sz w:val="24"/>
          <w:szCs w:val="24"/>
          <w:lang w:val="es-CO"/>
        </w:rPr>
      </w:pPr>
    </w:p>
    <w:p w14:paraId="4E7496FC" w14:textId="77777777" w:rsidR="00066B85" w:rsidRPr="001C168C" w:rsidRDefault="008A5552" w:rsidP="001C168C">
      <w:pPr>
        <w:autoSpaceDE w:val="0"/>
        <w:autoSpaceDN w:val="0"/>
        <w:spacing w:after="0" w:line="240" w:lineRule="auto"/>
        <w:ind w:right="80"/>
        <w:jc w:val="both"/>
        <w:rPr>
          <w:rFonts w:ascii="Arial" w:eastAsia="Calibri" w:hAnsi="Arial" w:cs="Arial"/>
          <w:color w:val="000000"/>
          <w:sz w:val="24"/>
          <w:szCs w:val="24"/>
          <w:lang w:val="es-CO"/>
        </w:rPr>
      </w:pPr>
      <w:r w:rsidRPr="001C168C">
        <w:rPr>
          <w:rFonts w:ascii="Arial" w:eastAsia="Calibri" w:hAnsi="Arial" w:cs="Arial"/>
          <w:color w:val="000000"/>
          <w:sz w:val="24"/>
          <w:szCs w:val="24"/>
          <w:lang w:val="es-CO"/>
        </w:rPr>
        <w:t>2. La medida debe ser necesaria para la consecución del fin. Este elemento implica que, no existen otras alternativas menos lesivas del derecho fundamental.</w:t>
      </w:r>
      <w:r w:rsidR="001C168C">
        <w:rPr>
          <w:rFonts w:ascii="Arial" w:eastAsia="Calibri" w:hAnsi="Arial" w:cs="Arial"/>
          <w:color w:val="000000"/>
          <w:sz w:val="24"/>
          <w:szCs w:val="24"/>
          <w:lang w:val="es-CO"/>
        </w:rPr>
        <w:t xml:space="preserve"> Recordemos que,</w:t>
      </w:r>
      <w:r w:rsidRPr="001C168C">
        <w:rPr>
          <w:rFonts w:ascii="Arial" w:eastAsia="Calibri" w:hAnsi="Arial" w:cs="Arial"/>
          <w:color w:val="000000"/>
          <w:sz w:val="24"/>
          <w:szCs w:val="24"/>
          <w:lang w:val="es-CO"/>
        </w:rPr>
        <w:t xml:space="preserve"> se restringe el derecho fundamental a la salud pública, ocasiona</w:t>
      </w:r>
      <w:r w:rsidR="001C168C">
        <w:rPr>
          <w:rFonts w:ascii="Arial" w:eastAsia="Calibri" w:hAnsi="Arial" w:cs="Arial"/>
          <w:color w:val="000000"/>
          <w:sz w:val="24"/>
          <w:szCs w:val="24"/>
          <w:lang w:val="es-CO"/>
        </w:rPr>
        <w:t>ndo un riesgo con la aspersión y</w:t>
      </w:r>
      <w:r w:rsidRPr="001C168C">
        <w:rPr>
          <w:rFonts w:ascii="Arial" w:eastAsia="Calibri" w:hAnsi="Arial" w:cs="Arial"/>
          <w:color w:val="000000"/>
          <w:sz w:val="24"/>
          <w:szCs w:val="24"/>
          <w:lang w:val="es-CO"/>
        </w:rPr>
        <w:t xml:space="preserve"> se restringe la consulta previa, para evitar un daño mayor: la muerte de miles de ciudadanos en el mundo, con ocasión del consumo. Por esta r</w:t>
      </w:r>
      <w:r w:rsidR="001C168C">
        <w:rPr>
          <w:rFonts w:ascii="Arial" w:eastAsia="Calibri" w:hAnsi="Arial" w:cs="Arial"/>
          <w:color w:val="000000"/>
          <w:sz w:val="24"/>
          <w:szCs w:val="24"/>
          <w:lang w:val="es-CO"/>
        </w:rPr>
        <w:t>azón, debe estar acreditado que</w:t>
      </w:r>
      <w:r w:rsidRPr="001C168C">
        <w:rPr>
          <w:rFonts w:ascii="Arial" w:eastAsia="Calibri" w:hAnsi="Arial" w:cs="Arial"/>
          <w:color w:val="000000"/>
          <w:sz w:val="24"/>
          <w:szCs w:val="24"/>
          <w:lang w:val="es-CO"/>
        </w:rPr>
        <w:t xml:space="preserve"> los</w:t>
      </w:r>
      <w:r w:rsidR="001C168C">
        <w:rPr>
          <w:rFonts w:ascii="Arial" w:eastAsia="Calibri" w:hAnsi="Arial" w:cs="Arial"/>
          <w:color w:val="000000"/>
          <w:sz w:val="24"/>
          <w:szCs w:val="24"/>
          <w:lang w:val="es-CO"/>
        </w:rPr>
        <w:t xml:space="preserve"> otros mecanismos que existen (</w:t>
      </w:r>
      <w:r w:rsidRPr="001C168C">
        <w:rPr>
          <w:rFonts w:ascii="Arial" w:eastAsia="Calibri" w:hAnsi="Arial" w:cs="Arial"/>
          <w:color w:val="000000"/>
          <w:sz w:val="24"/>
          <w:szCs w:val="24"/>
          <w:lang w:val="es-CO"/>
        </w:rPr>
        <w:t>por ejemplo, la erradicación manual o propiciar la sustitución), no tienen la misma idoneidad para alcanzar la protección de los otros bienes constitucionales.</w:t>
      </w:r>
    </w:p>
    <w:p w14:paraId="69D11085" w14:textId="77777777" w:rsidR="00066B85" w:rsidRPr="001C168C" w:rsidRDefault="00066B85" w:rsidP="001C168C">
      <w:pPr>
        <w:autoSpaceDE w:val="0"/>
        <w:autoSpaceDN w:val="0"/>
        <w:spacing w:after="0" w:line="240" w:lineRule="auto"/>
        <w:jc w:val="both"/>
        <w:rPr>
          <w:rFonts w:ascii="Arial" w:eastAsia="SimSun" w:hAnsi="Arial" w:cs="Arial"/>
          <w:color w:val="000000"/>
          <w:sz w:val="24"/>
          <w:szCs w:val="24"/>
          <w:lang w:val="es-CO"/>
        </w:rPr>
      </w:pPr>
    </w:p>
    <w:p w14:paraId="1473A964" w14:textId="77777777" w:rsidR="001C168C" w:rsidRPr="001C168C" w:rsidRDefault="008A5552" w:rsidP="001C168C">
      <w:pPr>
        <w:autoSpaceDE w:val="0"/>
        <w:autoSpaceDN w:val="0"/>
        <w:spacing w:after="0" w:line="240" w:lineRule="auto"/>
        <w:ind w:left="80" w:right="60"/>
        <w:jc w:val="both"/>
        <w:rPr>
          <w:rFonts w:ascii="Arial" w:hAnsi="Arial" w:cs="Arial"/>
          <w:sz w:val="24"/>
          <w:szCs w:val="24"/>
          <w:lang w:val="es-CO"/>
        </w:rPr>
      </w:pPr>
      <w:r w:rsidRPr="001C168C">
        <w:rPr>
          <w:rFonts w:ascii="Arial" w:eastAsia="Calibri" w:hAnsi="Arial" w:cs="Arial"/>
          <w:color w:val="000000"/>
          <w:sz w:val="24"/>
          <w:szCs w:val="24"/>
          <w:lang w:val="es-CO"/>
        </w:rPr>
        <w:t>3. La proporcionalidad en sentido estricto significa que, la restricción de</w:t>
      </w:r>
      <w:r w:rsidR="001C168C">
        <w:rPr>
          <w:rFonts w:ascii="Arial" w:eastAsia="Calibri" w:hAnsi="Arial" w:cs="Arial"/>
          <w:color w:val="000000"/>
          <w:sz w:val="24"/>
          <w:szCs w:val="24"/>
          <w:lang w:val="es-CO"/>
        </w:rPr>
        <w:t xml:space="preserve"> otros derechos fundamentales (</w:t>
      </w:r>
      <w:r w:rsidRPr="001C168C">
        <w:rPr>
          <w:rFonts w:ascii="Arial" w:eastAsia="Calibri" w:hAnsi="Arial" w:cs="Arial"/>
          <w:color w:val="000000"/>
          <w:sz w:val="24"/>
          <w:szCs w:val="24"/>
          <w:lang w:val="es-CO"/>
        </w:rPr>
        <w:t>en este caso, la salud pública y el derecho a la cons</w:t>
      </w:r>
      <w:r w:rsidR="001C168C">
        <w:rPr>
          <w:rFonts w:ascii="Arial" w:eastAsia="Calibri" w:hAnsi="Arial" w:cs="Arial"/>
          <w:color w:val="000000"/>
          <w:sz w:val="24"/>
          <w:szCs w:val="24"/>
          <w:lang w:val="es-CO"/>
        </w:rPr>
        <w:t>ulta), son razonables. Por eso</w:t>
      </w:r>
      <w:r w:rsidRPr="001C168C">
        <w:rPr>
          <w:rFonts w:ascii="Arial" w:eastAsia="Calibri" w:hAnsi="Arial" w:cs="Arial"/>
          <w:color w:val="000000"/>
          <w:sz w:val="24"/>
          <w:szCs w:val="24"/>
          <w:lang w:val="es-CO"/>
        </w:rPr>
        <w:t>, se justifican frente a los beneficios que se obtienen con la protección del bien constitucional que juega en sentido contrario (protección de la vida y</w:t>
      </w:r>
      <w:r w:rsidR="001C168C">
        <w:rPr>
          <w:rFonts w:ascii="Arial" w:eastAsia="Calibri" w:hAnsi="Arial" w:cs="Arial"/>
          <w:color w:val="000000"/>
          <w:sz w:val="24"/>
          <w:szCs w:val="24"/>
          <w:lang w:val="es-CO"/>
        </w:rPr>
        <w:t xml:space="preserve"> </w:t>
      </w:r>
      <w:r w:rsidR="001C168C" w:rsidRPr="001C168C">
        <w:rPr>
          <w:rFonts w:ascii="Arial" w:eastAsia="Calibri" w:hAnsi="Arial" w:cs="Arial"/>
          <w:color w:val="000000"/>
          <w:sz w:val="24"/>
          <w:szCs w:val="24"/>
          <w:lang w:val="es-CO"/>
        </w:rPr>
        <w:t>prevención de crímenes de guerra).</w:t>
      </w:r>
      <w:r w:rsidR="001C168C">
        <w:rPr>
          <w:rFonts w:ascii="Arial" w:eastAsia="Calibri" w:hAnsi="Arial" w:cs="Arial"/>
          <w:color w:val="000000"/>
          <w:sz w:val="24"/>
          <w:szCs w:val="24"/>
          <w:lang w:val="es-CO"/>
        </w:rPr>
        <w:t xml:space="preserve">  </w:t>
      </w:r>
      <w:r w:rsidR="001C168C" w:rsidRPr="001C168C">
        <w:rPr>
          <w:rFonts w:ascii="Arial" w:eastAsia="Calibri" w:hAnsi="Arial" w:cs="Arial"/>
          <w:color w:val="000000"/>
          <w:sz w:val="24"/>
          <w:szCs w:val="24"/>
          <w:lang w:val="es-CO"/>
        </w:rPr>
        <w:t>E</w:t>
      </w:r>
      <w:r w:rsidR="001C168C">
        <w:rPr>
          <w:rFonts w:ascii="Arial" w:eastAsia="Calibri" w:hAnsi="Arial" w:cs="Arial"/>
          <w:color w:val="000000"/>
          <w:sz w:val="24"/>
          <w:szCs w:val="24"/>
          <w:lang w:val="es-CO"/>
        </w:rPr>
        <w:t xml:space="preserve">n términos más ejemplificativos, </w:t>
      </w:r>
      <w:r w:rsidR="001C168C" w:rsidRPr="001C168C">
        <w:rPr>
          <w:rFonts w:ascii="Arial" w:eastAsia="Calibri" w:hAnsi="Arial" w:cs="Arial"/>
          <w:color w:val="000000"/>
          <w:sz w:val="24"/>
          <w:szCs w:val="24"/>
          <w:lang w:val="es-CO"/>
        </w:rPr>
        <w:t>si los beneficios que se obtienen con la aspersión salva miles de vidas, es constitucionalmente posible crear unos riesgos menores (comparados con la evitación de muertes) para impedir daños de mayor entidad. De acuerdo a este sub-principio, en este caso,</w:t>
      </w:r>
      <w:r w:rsidR="001C168C">
        <w:rPr>
          <w:rFonts w:ascii="Arial" w:eastAsia="Calibri" w:hAnsi="Arial" w:cs="Arial"/>
          <w:color w:val="000000"/>
          <w:sz w:val="24"/>
          <w:szCs w:val="24"/>
          <w:lang w:val="es-CO"/>
        </w:rPr>
        <w:t xml:space="preserve"> </w:t>
      </w:r>
      <w:r w:rsidR="001C168C" w:rsidRPr="001C168C">
        <w:rPr>
          <w:rFonts w:ascii="Arial" w:eastAsia="Calibri" w:hAnsi="Arial" w:cs="Arial"/>
          <w:color w:val="000000"/>
          <w:sz w:val="24"/>
          <w:szCs w:val="24"/>
          <w:lang w:val="es-CO"/>
        </w:rPr>
        <w:t>la protección de la vida precede (precedencia condicionada)</w:t>
      </w:r>
      <w:r w:rsidR="001C168C">
        <w:rPr>
          <w:rFonts w:ascii="Arial" w:eastAsia="Calibri" w:hAnsi="Arial" w:cs="Arial"/>
          <w:color w:val="000000"/>
          <w:sz w:val="24"/>
          <w:szCs w:val="24"/>
          <w:lang w:val="es-CO"/>
        </w:rPr>
        <w:t xml:space="preserve"> </w:t>
      </w:r>
      <w:r w:rsidR="001C168C" w:rsidRPr="001C168C">
        <w:rPr>
          <w:rFonts w:ascii="Arial" w:eastAsia="Calibri" w:hAnsi="Arial" w:cs="Arial"/>
          <w:color w:val="000000"/>
          <w:sz w:val="24"/>
          <w:szCs w:val="24"/>
          <w:lang w:val="es-CO"/>
        </w:rPr>
        <w:t>a la puesta en peligro de la salud pública, el medio ambiente y el derecho a la consulta.</w:t>
      </w:r>
    </w:p>
    <w:p w14:paraId="34362A76" w14:textId="77777777" w:rsidR="001C168C" w:rsidRPr="001C168C" w:rsidRDefault="001C168C" w:rsidP="001C168C">
      <w:pPr>
        <w:autoSpaceDE w:val="0"/>
        <w:autoSpaceDN w:val="0"/>
        <w:spacing w:after="0" w:line="337" w:lineRule="exact"/>
        <w:jc w:val="both"/>
        <w:rPr>
          <w:rFonts w:ascii="Arial" w:eastAsia="SimSun" w:hAnsi="Arial" w:cs="Arial"/>
          <w:color w:val="000000"/>
          <w:sz w:val="24"/>
          <w:szCs w:val="24"/>
          <w:lang w:val="es-CO"/>
        </w:rPr>
      </w:pPr>
    </w:p>
    <w:p w14:paraId="1D07AF23" w14:textId="77777777" w:rsidR="001C168C" w:rsidRPr="001C168C" w:rsidRDefault="001C168C" w:rsidP="001C168C">
      <w:pPr>
        <w:autoSpaceDE w:val="0"/>
        <w:autoSpaceDN w:val="0"/>
        <w:spacing w:after="0" w:line="240" w:lineRule="auto"/>
        <w:ind w:left="80" w:right="60"/>
        <w:jc w:val="both"/>
        <w:rPr>
          <w:rFonts w:ascii="Arial" w:hAnsi="Arial" w:cs="Arial"/>
          <w:sz w:val="24"/>
          <w:szCs w:val="24"/>
          <w:lang w:val="es-CO"/>
        </w:rPr>
      </w:pPr>
      <w:r w:rsidRPr="001C168C">
        <w:rPr>
          <w:rFonts w:ascii="Arial" w:eastAsia="Calibri" w:hAnsi="Arial" w:cs="Arial"/>
          <w:color w:val="000000"/>
          <w:sz w:val="24"/>
          <w:szCs w:val="24"/>
          <w:lang w:val="es-CO"/>
        </w:rPr>
        <w:t>En términos más genéricos</w:t>
      </w:r>
      <w:r>
        <w:rPr>
          <w:rFonts w:ascii="Arial" w:eastAsia="Calibri" w:hAnsi="Arial" w:cs="Arial"/>
          <w:color w:val="000000"/>
          <w:sz w:val="24"/>
          <w:szCs w:val="24"/>
          <w:lang w:val="es-CO"/>
        </w:rPr>
        <w:t>,</w:t>
      </w:r>
      <w:r w:rsidRPr="001C168C">
        <w:rPr>
          <w:rFonts w:ascii="Arial" w:eastAsia="Calibri" w:hAnsi="Arial" w:cs="Arial"/>
          <w:color w:val="000000"/>
          <w:sz w:val="24"/>
          <w:szCs w:val="24"/>
          <w:lang w:val="es-CO"/>
        </w:rPr>
        <w:t xml:space="preserve"> para saber si es constitucional restablecer la aspersión aérea, hay que hacer una ponderación entre los bienes en conflicto: la puesta</w:t>
      </w:r>
      <w:r>
        <w:rPr>
          <w:rFonts w:ascii="Arial" w:eastAsia="Calibri" w:hAnsi="Arial" w:cs="Arial"/>
          <w:color w:val="000000"/>
          <w:sz w:val="24"/>
          <w:szCs w:val="24"/>
          <w:lang w:val="es-CO"/>
        </w:rPr>
        <w:t xml:space="preserve"> en peligro de la salud pública, </w:t>
      </w:r>
      <w:r w:rsidRPr="001C168C">
        <w:rPr>
          <w:rFonts w:ascii="Arial" w:eastAsia="Calibri" w:hAnsi="Arial" w:cs="Arial"/>
          <w:color w:val="000000"/>
          <w:sz w:val="24"/>
          <w:szCs w:val="24"/>
          <w:lang w:val="es-CO"/>
        </w:rPr>
        <w:t>el medio ambiente y la participación ciudadana (consulta previa),</w:t>
      </w:r>
      <w:r>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frente a la vida e integridad de miles de personas que tienen adicción a la droga. </w:t>
      </w:r>
      <w:r>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 xml:space="preserve">En este punto, adquiere relevancia la clasificación que hace Robert Alexy, entre afectaciones leves, </w:t>
      </w:r>
      <w:r w:rsidRPr="001C168C">
        <w:rPr>
          <w:rFonts w:ascii="Arial" w:eastAsia="Calibri" w:hAnsi="Arial" w:cs="Arial"/>
          <w:color w:val="000000"/>
          <w:sz w:val="24"/>
          <w:szCs w:val="24"/>
          <w:lang w:val="es-CO"/>
        </w:rPr>
        <w:lastRenderedPageBreak/>
        <w:t xml:space="preserve">medias e intensas del derecho fundamental. </w:t>
      </w:r>
      <w:proofErr w:type="gramStart"/>
      <w:r w:rsidRPr="001C168C">
        <w:rPr>
          <w:rFonts w:ascii="Arial" w:eastAsia="Calibri" w:hAnsi="Arial" w:cs="Arial"/>
          <w:color w:val="000000"/>
          <w:sz w:val="24"/>
          <w:szCs w:val="24"/>
          <w:lang w:val="es-CO"/>
        </w:rPr>
        <w:t>( Ver</w:t>
      </w:r>
      <w:proofErr w:type="gramEnd"/>
      <w:r w:rsidRPr="001C168C">
        <w:rPr>
          <w:rFonts w:ascii="Arial" w:eastAsia="Calibri" w:hAnsi="Arial" w:cs="Arial"/>
          <w:color w:val="000000"/>
          <w:sz w:val="24"/>
          <w:szCs w:val="24"/>
          <w:lang w:val="es-CO"/>
        </w:rPr>
        <w:t>: Robert Alexy. Teoría de los Derechos Fundamentales.3 edición.)</w:t>
      </w:r>
      <w:r>
        <w:rPr>
          <w:rFonts w:ascii="Arial" w:eastAsia="Calibri" w:hAnsi="Arial" w:cs="Arial"/>
          <w:color w:val="000000"/>
          <w:sz w:val="24"/>
          <w:szCs w:val="24"/>
          <w:lang w:val="es-CO"/>
        </w:rPr>
        <w:t>.</w:t>
      </w:r>
    </w:p>
    <w:p w14:paraId="4AD68304" w14:textId="77777777" w:rsidR="001C168C" w:rsidRPr="001C168C" w:rsidRDefault="001C168C" w:rsidP="001C168C">
      <w:pPr>
        <w:autoSpaceDE w:val="0"/>
        <w:autoSpaceDN w:val="0"/>
        <w:spacing w:after="0" w:line="324" w:lineRule="exact"/>
        <w:jc w:val="both"/>
        <w:rPr>
          <w:rFonts w:ascii="Arial" w:eastAsia="SimSun" w:hAnsi="Arial" w:cs="Arial"/>
          <w:color w:val="000000"/>
          <w:sz w:val="24"/>
          <w:szCs w:val="24"/>
          <w:lang w:val="es-CO"/>
        </w:rPr>
      </w:pPr>
    </w:p>
    <w:p w14:paraId="226D1E3A" w14:textId="77777777" w:rsidR="001C168C" w:rsidRDefault="001C168C" w:rsidP="001C168C">
      <w:pPr>
        <w:autoSpaceDE w:val="0"/>
        <w:autoSpaceDN w:val="0"/>
        <w:spacing w:after="0" w:line="240" w:lineRule="auto"/>
        <w:ind w:left="80" w:right="60"/>
        <w:jc w:val="both"/>
        <w:rPr>
          <w:rFonts w:ascii="Arial" w:eastAsia="Calibri" w:hAnsi="Arial" w:cs="Arial"/>
          <w:color w:val="000000"/>
          <w:sz w:val="24"/>
          <w:szCs w:val="24"/>
          <w:lang w:val="es-CO"/>
        </w:rPr>
      </w:pPr>
      <w:r>
        <w:rPr>
          <w:rFonts w:ascii="Arial" w:eastAsia="Calibri" w:hAnsi="Arial" w:cs="Arial"/>
          <w:color w:val="000000"/>
          <w:sz w:val="24"/>
          <w:szCs w:val="24"/>
          <w:lang w:val="es-CO"/>
        </w:rPr>
        <w:t>Por tanto</w:t>
      </w:r>
      <w:r w:rsidRPr="001C168C">
        <w:rPr>
          <w:rFonts w:ascii="Arial" w:eastAsia="Calibri" w:hAnsi="Arial" w:cs="Arial"/>
          <w:color w:val="000000"/>
          <w:sz w:val="24"/>
          <w:szCs w:val="24"/>
          <w:lang w:val="es-CO"/>
        </w:rPr>
        <w:t xml:space="preserve">, si la restricción al derecho fundamental, producto de la aspersión es leve, comparada con la restricción que se </w:t>
      </w:r>
      <w:r>
        <w:rPr>
          <w:rFonts w:ascii="Arial" w:eastAsia="Calibri" w:hAnsi="Arial" w:cs="Arial"/>
          <w:color w:val="000000"/>
          <w:sz w:val="24"/>
          <w:szCs w:val="24"/>
          <w:lang w:val="es-CO"/>
        </w:rPr>
        <w:t>produce en caso de no hacerlo (</w:t>
      </w:r>
      <w:r w:rsidRPr="001C168C">
        <w:rPr>
          <w:rFonts w:ascii="Arial" w:eastAsia="Calibri" w:hAnsi="Arial" w:cs="Arial"/>
          <w:color w:val="000000"/>
          <w:sz w:val="24"/>
          <w:szCs w:val="24"/>
          <w:lang w:val="es-CO"/>
        </w:rPr>
        <w:t>afectación intensa de la vida</w:t>
      </w:r>
      <w:r>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y comisión de crímenes de guerra), hay que ponderar en favor del derecho que se vería más gravemente afectado. Esta herramienta, aplicada a las posibles hipótesis en que se utilizaría la aspersión, se</w:t>
      </w:r>
      <w:r>
        <w:rPr>
          <w:rFonts w:ascii="Arial" w:eastAsia="Calibri" w:hAnsi="Arial" w:cs="Arial"/>
          <w:color w:val="000000"/>
          <w:sz w:val="24"/>
          <w:szCs w:val="24"/>
          <w:lang w:val="es-CO"/>
        </w:rPr>
        <w:t xml:space="preserve"> emplea de la siguiente manera;</w:t>
      </w:r>
      <w:r w:rsidRPr="001C168C">
        <w:rPr>
          <w:rFonts w:ascii="Arial" w:eastAsia="Calibri" w:hAnsi="Arial" w:cs="Arial"/>
          <w:color w:val="000000"/>
          <w:sz w:val="24"/>
          <w:szCs w:val="24"/>
          <w:lang w:val="es-CO"/>
        </w:rPr>
        <w:t xml:space="preserve"> demostrar que la utilización de la poblaci</w:t>
      </w:r>
      <w:r>
        <w:rPr>
          <w:rFonts w:ascii="Arial" w:eastAsia="Calibri" w:hAnsi="Arial" w:cs="Arial"/>
          <w:color w:val="000000"/>
          <w:sz w:val="24"/>
          <w:szCs w:val="24"/>
          <w:lang w:val="es-CO"/>
        </w:rPr>
        <w:t>ón civil como escudos humanos (</w:t>
      </w:r>
      <w:r w:rsidRPr="001C168C">
        <w:rPr>
          <w:rFonts w:ascii="Arial" w:eastAsia="Calibri" w:hAnsi="Arial" w:cs="Arial"/>
          <w:color w:val="000000"/>
          <w:sz w:val="24"/>
          <w:szCs w:val="24"/>
          <w:lang w:val="es-CO"/>
        </w:rPr>
        <w:t>crimen de guerra por involucrar a civiles en un conflicto armado), colocando en grave peligro la vida de ciudadanos inocentes, es un daño que hace razonable emplear un medio que produce menos riesgo para la integridad de las personas: la aspersión aérea. Tambié</w:t>
      </w:r>
      <w:r>
        <w:rPr>
          <w:rFonts w:ascii="Arial" w:eastAsia="Calibri" w:hAnsi="Arial" w:cs="Arial"/>
          <w:color w:val="000000"/>
          <w:sz w:val="24"/>
          <w:szCs w:val="24"/>
          <w:lang w:val="es-CO"/>
        </w:rPr>
        <w:t xml:space="preserve">n es indispensable procurar que la población </w:t>
      </w:r>
      <w:r w:rsidRPr="001C168C">
        <w:rPr>
          <w:rFonts w:ascii="Arial" w:eastAsia="Calibri" w:hAnsi="Arial" w:cs="Arial"/>
          <w:color w:val="000000"/>
          <w:sz w:val="24"/>
          <w:szCs w:val="24"/>
          <w:lang w:val="es-CO"/>
        </w:rPr>
        <w:t>reciba el menor impacto posible como consecuencia de la aspersión. La política pública debe adoptar medidas para evitar la expansión del daño colateral producto de la aspersión.</w:t>
      </w:r>
    </w:p>
    <w:p w14:paraId="4F2D4E84" w14:textId="77777777" w:rsidR="001C168C" w:rsidRPr="001C168C" w:rsidRDefault="001C168C" w:rsidP="001C168C">
      <w:pPr>
        <w:autoSpaceDE w:val="0"/>
        <w:autoSpaceDN w:val="0"/>
        <w:spacing w:after="0" w:line="349" w:lineRule="exact"/>
        <w:ind w:left="80" w:right="60"/>
        <w:jc w:val="both"/>
        <w:rPr>
          <w:rFonts w:ascii="Arial" w:hAnsi="Arial" w:cs="Arial"/>
          <w:sz w:val="24"/>
          <w:szCs w:val="24"/>
          <w:lang w:val="es-CO"/>
        </w:rPr>
      </w:pPr>
    </w:p>
    <w:p w14:paraId="182A07AE" w14:textId="77777777" w:rsidR="001C168C" w:rsidRPr="001C168C" w:rsidRDefault="001C168C" w:rsidP="001C168C">
      <w:pPr>
        <w:autoSpaceDE w:val="0"/>
        <w:autoSpaceDN w:val="0"/>
        <w:spacing w:after="0" w:line="240" w:lineRule="auto"/>
        <w:ind w:left="20" w:right="120"/>
        <w:jc w:val="both"/>
        <w:rPr>
          <w:rFonts w:ascii="Arial" w:hAnsi="Arial" w:cs="Arial"/>
          <w:sz w:val="24"/>
          <w:szCs w:val="24"/>
          <w:lang w:val="es-CO"/>
        </w:rPr>
      </w:pPr>
      <w:r w:rsidRPr="001C168C">
        <w:rPr>
          <w:rFonts w:ascii="Arial" w:eastAsia="Calibri" w:hAnsi="Arial" w:cs="Arial"/>
          <w:color w:val="000000"/>
          <w:sz w:val="24"/>
          <w:szCs w:val="24"/>
          <w:lang w:val="es-CO"/>
        </w:rPr>
        <w:t>Como estamos ante una situación - existencia de crímenes de guerra- que varía las condiciones en que se habían fundamentado los precedentes de la Corte frente a la aspersión, es posible modificar la cosa juzgada. Recordemos que la alta corporación ha permitido esa relativización en diversos supuestos. Por ejemplo,</w:t>
      </w:r>
      <w:r>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cuando se modifica el contexto social o jurídico en que se expresó la decisión judicial (ver: Un análisis conceptual sobre la cosa juzgada constitucional en el control abstracto de constitucionalidad. Duber Armando Celis Vela. Revista Derecho del Estado. 62. Mayo-2025.U Externado)</w:t>
      </w:r>
    </w:p>
    <w:p w14:paraId="1F755D01" w14:textId="77777777" w:rsidR="001C168C" w:rsidRPr="001C168C" w:rsidRDefault="001C168C" w:rsidP="001C168C">
      <w:pPr>
        <w:autoSpaceDE w:val="0"/>
        <w:autoSpaceDN w:val="0"/>
        <w:spacing w:after="0" w:line="324" w:lineRule="exact"/>
        <w:jc w:val="both"/>
        <w:rPr>
          <w:rFonts w:ascii="Arial" w:eastAsia="SimSun" w:hAnsi="Arial" w:cs="Arial"/>
          <w:color w:val="000000"/>
          <w:sz w:val="24"/>
          <w:szCs w:val="24"/>
          <w:lang w:val="es-CO"/>
        </w:rPr>
      </w:pPr>
    </w:p>
    <w:p w14:paraId="747DAB14" w14:textId="77777777" w:rsidR="001C168C" w:rsidRPr="001C168C" w:rsidRDefault="001C168C" w:rsidP="001C168C">
      <w:pPr>
        <w:autoSpaceDE w:val="0"/>
        <w:autoSpaceDN w:val="0"/>
        <w:spacing w:after="0" w:line="324" w:lineRule="exact"/>
        <w:jc w:val="both"/>
        <w:rPr>
          <w:rFonts w:ascii="Arial" w:eastAsia="SimSun" w:hAnsi="Arial" w:cs="Arial"/>
          <w:color w:val="000000"/>
          <w:sz w:val="24"/>
          <w:szCs w:val="24"/>
          <w:lang w:val="es-CO"/>
        </w:rPr>
      </w:pPr>
    </w:p>
    <w:p w14:paraId="1419158E" w14:textId="77777777" w:rsidR="001C168C" w:rsidRPr="001C168C" w:rsidRDefault="001C168C" w:rsidP="001C168C">
      <w:pPr>
        <w:autoSpaceDE w:val="0"/>
        <w:autoSpaceDN w:val="0"/>
        <w:spacing w:after="0" w:line="434" w:lineRule="exact"/>
        <w:jc w:val="both"/>
        <w:rPr>
          <w:rFonts w:ascii="Arial" w:hAnsi="Arial" w:cs="Arial"/>
          <w:b/>
          <w:sz w:val="24"/>
          <w:szCs w:val="24"/>
          <w:lang w:val="es-CO"/>
        </w:rPr>
      </w:pPr>
      <w:r>
        <w:rPr>
          <w:rFonts w:ascii="Arial" w:eastAsia="Calibri" w:hAnsi="Arial" w:cs="Arial"/>
          <w:b/>
          <w:color w:val="000000"/>
          <w:sz w:val="24"/>
          <w:szCs w:val="24"/>
          <w:lang w:val="es-CO"/>
        </w:rPr>
        <w:t>CONCLUSIONES</w:t>
      </w:r>
    </w:p>
    <w:p w14:paraId="215CA2A8" w14:textId="77777777" w:rsidR="001C168C" w:rsidRPr="001C168C" w:rsidRDefault="001C168C" w:rsidP="001C168C">
      <w:pPr>
        <w:autoSpaceDE w:val="0"/>
        <w:autoSpaceDN w:val="0"/>
        <w:spacing w:after="0" w:line="240" w:lineRule="auto"/>
        <w:jc w:val="both"/>
        <w:rPr>
          <w:rFonts w:ascii="Arial" w:eastAsia="SimSun" w:hAnsi="Arial" w:cs="Arial"/>
          <w:color w:val="000000"/>
          <w:sz w:val="24"/>
          <w:szCs w:val="24"/>
          <w:lang w:val="es-CO"/>
        </w:rPr>
      </w:pPr>
    </w:p>
    <w:p w14:paraId="79D8D81A" w14:textId="77777777" w:rsidR="001C168C" w:rsidRPr="001C168C" w:rsidRDefault="001C168C" w:rsidP="001C168C">
      <w:pPr>
        <w:autoSpaceDE w:val="0"/>
        <w:autoSpaceDN w:val="0"/>
        <w:spacing w:after="0" w:line="240" w:lineRule="auto"/>
        <w:ind w:right="120"/>
        <w:jc w:val="both"/>
        <w:rPr>
          <w:rFonts w:ascii="Arial" w:hAnsi="Arial" w:cs="Arial"/>
          <w:sz w:val="24"/>
          <w:szCs w:val="24"/>
          <w:lang w:val="es-CO"/>
        </w:rPr>
      </w:pPr>
      <w:r w:rsidRPr="001C168C">
        <w:rPr>
          <w:rFonts w:ascii="Arial" w:eastAsia="Calibri" w:hAnsi="Arial" w:cs="Arial"/>
          <w:color w:val="000000"/>
          <w:sz w:val="24"/>
          <w:szCs w:val="24"/>
          <w:lang w:val="es-CO"/>
        </w:rPr>
        <w:t>a) El principio</w:t>
      </w:r>
      <w:r>
        <w:rPr>
          <w:rFonts w:ascii="Arial" w:eastAsia="Calibri" w:hAnsi="Arial" w:cs="Arial"/>
          <w:color w:val="000000"/>
          <w:sz w:val="24"/>
          <w:szCs w:val="24"/>
          <w:lang w:val="es-CO"/>
        </w:rPr>
        <w:t xml:space="preserve"> </w:t>
      </w:r>
      <w:r w:rsidRPr="001C168C">
        <w:rPr>
          <w:rFonts w:ascii="Arial" w:eastAsia="Calibri" w:hAnsi="Arial" w:cs="Arial"/>
          <w:color w:val="000000"/>
          <w:sz w:val="24"/>
          <w:szCs w:val="24"/>
          <w:lang w:val="es-CO"/>
        </w:rPr>
        <w:t>de precaución puede ser limitado con base en el principio constitucional de proporcionalidad.</w:t>
      </w:r>
    </w:p>
    <w:p w14:paraId="0EE74BD1" w14:textId="77777777" w:rsidR="001C168C" w:rsidRDefault="001C168C" w:rsidP="001C168C">
      <w:pPr>
        <w:autoSpaceDE w:val="0"/>
        <w:autoSpaceDN w:val="0"/>
        <w:spacing w:after="0" w:line="240" w:lineRule="auto"/>
        <w:ind w:right="120"/>
        <w:jc w:val="both"/>
        <w:rPr>
          <w:rFonts w:ascii="Arial" w:eastAsia="Calibri" w:hAnsi="Arial" w:cs="Arial"/>
          <w:color w:val="000000"/>
          <w:sz w:val="24"/>
          <w:szCs w:val="24"/>
          <w:lang w:val="es-CO"/>
        </w:rPr>
      </w:pPr>
    </w:p>
    <w:p w14:paraId="5A5459D4" w14:textId="77777777" w:rsidR="001C168C" w:rsidRPr="001C168C" w:rsidRDefault="001C168C" w:rsidP="001C168C">
      <w:pPr>
        <w:autoSpaceDE w:val="0"/>
        <w:autoSpaceDN w:val="0"/>
        <w:spacing w:after="0" w:line="240" w:lineRule="auto"/>
        <w:ind w:right="120"/>
        <w:jc w:val="both"/>
        <w:rPr>
          <w:rFonts w:ascii="Arial" w:hAnsi="Arial" w:cs="Arial"/>
          <w:sz w:val="24"/>
          <w:szCs w:val="24"/>
          <w:lang w:val="es-CO"/>
        </w:rPr>
      </w:pPr>
      <w:r w:rsidRPr="001C168C">
        <w:rPr>
          <w:rFonts w:ascii="Arial" w:eastAsia="Calibri" w:hAnsi="Arial" w:cs="Arial"/>
          <w:color w:val="000000"/>
          <w:sz w:val="24"/>
          <w:szCs w:val="24"/>
          <w:lang w:val="es-CO"/>
        </w:rPr>
        <w:t>b) La cosa juzgada constitucional puede ser relativizada cuando cambian las circunstancias sociales y jurídicas que dieron sustento a la decisión judicial.</w:t>
      </w:r>
    </w:p>
    <w:p w14:paraId="7107101A" w14:textId="77777777" w:rsidR="001C168C" w:rsidRDefault="001C168C" w:rsidP="001C168C">
      <w:pPr>
        <w:autoSpaceDE w:val="0"/>
        <w:autoSpaceDN w:val="0"/>
        <w:spacing w:after="0" w:line="240" w:lineRule="auto"/>
        <w:ind w:right="120"/>
        <w:jc w:val="both"/>
        <w:rPr>
          <w:rFonts w:ascii="Arial" w:eastAsia="Calibri" w:hAnsi="Arial" w:cs="Arial"/>
          <w:color w:val="000000"/>
          <w:sz w:val="24"/>
          <w:szCs w:val="24"/>
          <w:lang w:val="es-CO"/>
        </w:rPr>
      </w:pPr>
    </w:p>
    <w:p w14:paraId="3701997A" w14:textId="77777777" w:rsidR="001C168C" w:rsidRPr="001C168C" w:rsidRDefault="001C168C" w:rsidP="001C168C">
      <w:pPr>
        <w:autoSpaceDE w:val="0"/>
        <w:autoSpaceDN w:val="0"/>
        <w:spacing w:after="0" w:line="240" w:lineRule="auto"/>
        <w:ind w:right="120"/>
        <w:jc w:val="both"/>
        <w:rPr>
          <w:rFonts w:ascii="Arial" w:hAnsi="Arial" w:cs="Arial"/>
          <w:sz w:val="24"/>
          <w:szCs w:val="24"/>
          <w:lang w:val="es-CO"/>
        </w:rPr>
      </w:pPr>
      <w:r w:rsidRPr="001C168C">
        <w:rPr>
          <w:rFonts w:ascii="Arial" w:eastAsia="Calibri" w:hAnsi="Arial" w:cs="Arial"/>
          <w:color w:val="000000"/>
          <w:sz w:val="24"/>
          <w:szCs w:val="24"/>
          <w:lang w:val="es-CO"/>
        </w:rPr>
        <w:t>c) La aspersión puede ser realizada sin nuevos estudios científicos y sin consulta previa, para evitar la comisión de crímenes de guerra.</w:t>
      </w:r>
    </w:p>
    <w:p w14:paraId="5369A3AD" w14:textId="77777777" w:rsidR="001C168C" w:rsidRPr="001C168C" w:rsidRDefault="001C168C" w:rsidP="001C168C">
      <w:pPr>
        <w:autoSpaceDE w:val="0"/>
        <w:autoSpaceDN w:val="0"/>
        <w:spacing w:after="0" w:line="240" w:lineRule="auto"/>
        <w:jc w:val="both"/>
        <w:rPr>
          <w:rFonts w:ascii="Arial" w:eastAsia="SimSun" w:hAnsi="Arial" w:cs="Arial"/>
          <w:color w:val="000000"/>
          <w:sz w:val="24"/>
          <w:szCs w:val="24"/>
          <w:lang w:val="es-CO"/>
        </w:rPr>
      </w:pPr>
    </w:p>
    <w:p w14:paraId="16B91332" w14:textId="77777777" w:rsidR="001C168C" w:rsidRPr="001C168C" w:rsidRDefault="001C168C" w:rsidP="001C168C">
      <w:pPr>
        <w:autoSpaceDE w:val="0"/>
        <w:autoSpaceDN w:val="0"/>
        <w:spacing w:after="0" w:line="240" w:lineRule="auto"/>
        <w:ind w:right="120"/>
        <w:jc w:val="both"/>
        <w:rPr>
          <w:rFonts w:ascii="Arial" w:hAnsi="Arial" w:cs="Arial"/>
          <w:sz w:val="24"/>
          <w:szCs w:val="24"/>
          <w:lang w:val="es-CO"/>
        </w:rPr>
      </w:pPr>
      <w:r w:rsidRPr="001C168C">
        <w:rPr>
          <w:rFonts w:ascii="Arial" w:eastAsia="Calibri" w:hAnsi="Arial" w:cs="Arial"/>
          <w:color w:val="000000"/>
          <w:sz w:val="24"/>
          <w:szCs w:val="24"/>
          <w:lang w:val="es-CO"/>
        </w:rPr>
        <w:t>d) Deber demostrarse el riesgo inminente que corren los ciudadanos utilizados como escudos humanos en zonas del conflicto armado y que el estado no alcanza a obtener la evidencia científica que se requiere, ni a realizar las consultas previas con comunidades indígenas.</w:t>
      </w:r>
    </w:p>
    <w:p w14:paraId="5522157E" w14:textId="77777777" w:rsidR="001C168C" w:rsidRPr="001C168C" w:rsidRDefault="001C168C" w:rsidP="001C168C">
      <w:pPr>
        <w:autoSpaceDE w:val="0"/>
        <w:autoSpaceDN w:val="0"/>
        <w:spacing w:after="0" w:line="324" w:lineRule="exact"/>
        <w:jc w:val="both"/>
        <w:rPr>
          <w:rFonts w:ascii="Arial" w:eastAsia="SimSun" w:hAnsi="Arial" w:cs="Arial"/>
          <w:color w:val="000000"/>
          <w:sz w:val="24"/>
          <w:szCs w:val="24"/>
          <w:lang w:val="es-CO"/>
        </w:rPr>
      </w:pPr>
    </w:p>
    <w:p w14:paraId="179F62AF" w14:textId="77777777" w:rsidR="001C168C" w:rsidRPr="001C168C" w:rsidRDefault="001C168C" w:rsidP="001C168C">
      <w:pPr>
        <w:autoSpaceDE w:val="0"/>
        <w:autoSpaceDN w:val="0"/>
        <w:spacing w:after="0" w:line="240" w:lineRule="auto"/>
        <w:ind w:left="80" w:right="60"/>
        <w:jc w:val="both"/>
        <w:rPr>
          <w:rFonts w:ascii="Arial" w:hAnsi="Arial" w:cs="Arial"/>
          <w:sz w:val="24"/>
          <w:szCs w:val="24"/>
          <w:lang w:val="es-CO"/>
        </w:rPr>
        <w:sectPr w:rsidR="001C168C" w:rsidRPr="001C168C">
          <w:type w:val="continuous"/>
          <w:pgSz w:w="11900" w:h="14980"/>
          <w:pgMar w:top="720" w:right="1920" w:bottom="960" w:left="1920" w:header="360" w:footer="480" w:gutter="0"/>
          <w:cols w:space="720"/>
        </w:sectPr>
      </w:pPr>
      <w:r w:rsidRPr="001C168C">
        <w:rPr>
          <w:rFonts w:ascii="Arial" w:eastAsia="Calibri" w:hAnsi="Arial" w:cs="Arial"/>
          <w:color w:val="000000"/>
          <w:sz w:val="24"/>
          <w:szCs w:val="24"/>
          <w:lang w:val="es-CO"/>
        </w:rPr>
        <w:lastRenderedPageBreak/>
        <w:t>e) Para realizar la aspersión, es imperioso demostrar que se adoptaran todas las medidas posibles para mitigar el daño que implica la aspersión frente a las comunidades que pueden sufrir el impacto de las mismas.</w:t>
      </w:r>
    </w:p>
    <w:p w14:paraId="58999A3B" w14:textId="77777777" w:rsidR="00066B85" w:rsidRPr="001C168C" w:rsidRDefault="001C168C" w:rsidP="001C168C">
      <w:pPr>
        <w:autoSpaceDE w:val="0"/>
        <w:autoSpaceDN w:val="0"/>
        <w:spacing w:after="0" w:line="290" w:lineRule="exact"/>
        <w:ind w:right="80"/>
        <w:jc w:val="both"/>
        <w:rPr>
          <w:rFonts w:ascii="Arial" w:hAnsi="Arial" w:cs="Arial"/>
          <w:sz w:val="24"/>
          <w:szCs w:val="24"/>
          <w:lang w:val="es-CO"/>
        </w:rPr>
        <w:sectPr w:rsidR="00066B85" w:rsidRPr="001C168C">
          <w:type w:val="continuous"/>
          <w:pgSz w:w="11900" w:h="14880"/>
          <w:pgMar w:top="720" w:right="2160" w:bottom="2040" w:left="2160" w:header="360" w:footer="1800" w:gutter="0"/>
          <w:cols w:space="720"/>
        </w:sectPr>
      </w:pPr>
      <w:r>
        <w:rPr>
          <w:rFonts w:ascii="Arial" w:eastAsia="Calibri" w:hAnsi="Arial" w:cs="Arial"/>
          <w:color w:val="000000"/>
          <w:sz w:val="24"/>
          <w:szCs w:val="24"/>
          <w:lang w:val="es-CO"/>
        </w:rPr>
        <w:lastRenderedPageBreak/>
        <w:t xml:space="preserve"> </w:t>
      </w:r>
    </w:p>
    <w:p w14:paraId="17BEAE4A" w14:textId="77777777" w:rsidR="00066B85" w:rsidRPr="001C168C" w:rsidRDefault="00066B85">
      <w:pPr>
        <w:autoSpaceDE w:val="0"/>
        <w:autoSpaceDN w:val="0"/>
        <w:spacing w:after="0" w:line="343" w:lineRule="exact"/>
        <w:ind w:left="660" w:right="120" w:hanging="460"/>
        <w:jc w:val="both"/>
        <w:rPr>
          <w:rFonts w:ascii="Arial" w:hAnsi="Arial" w:cs="Arial"/>
          <w:sz w:val="24"/>
          <w:szCs w:val="24"/>
          <w:lang w:val="es-CO"/>
        </w:rPr>
      </w:pPr>
    </w:p>
    <w:sectPr w:rsidR="00066B85" w:rsidRPr="001C168C">
      <w:type w:val="continuous"/>
      <w:pgSz w:w="11900" w:h="13400"/>
      <w:pgMar w:top="720" w:right="1680" w:bottom="720" w:left="1680" w:header="360" w:footer="36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BC8"/>
    <w:rsid w:val="00066B85"/>
    <w:rsid w:val="000D6051"/>
    <w:rsid w:val="001C168C"/>
    <w:rsid w:val="00842A47"/>
    <w:rsid w:val="008A5552"/>
    <w:rsid w:val="009F0BE0"/>
    <w:rsid w:val="00BA6D97"/>
    <w:rsid w:val="00BD0BC8"/>
    <w:rsid w:val="00D8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63AC3"/>
  <w15:chartTrackingRefBased/>
  <w15:docId w15:val="{43DAE28B-E02E-4597-8366-8782283A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2368A0DB1641D428485A3D8B3293150" ma:contentTypeVersion="23" ma:contentTypeDescription="Crear nuevo documento." ma:contentTypeScope="" ma:versionID="c6381e63a1cd5534627b170ee0447f31">
  <xsd:schema xmlns:xsd="http://www.w3.org/2001/XMLSchema" xmlns:xs="http://www.w3.org/2001/XMLSchema" xmlns:p="http://schemas.microsoft.com/office/2006/metadata/properties" xmlns:ns2="1b3372a7-7dc8-4b00-afef-77a513e85060" xmlns:ns3="32bbef5c-91bf-4284-8fae-217681526adc" targetNamespace="http://schemas.microsoft.com/office/2006/metadata/properties" ma:root="true" ma:fieldsID="0a73a471ab41ab445aa43f414235708c" ns2:_="" ns3:_="">
    <xsd:import namespace="1b3372a7-7dc8-4b00-afef-77a513e85060"/>
    <xsd:import namespace="32bbef5c-91bf-4284-8fae-217681526adc"/>
    <xsd:element name="properties">
      <xsd:complexType>
        <xsd:sequence>
          <xsd:element name="documentManagement">
            <xsd:complexType>
              <xsd:all>
                <xsd:element ref="ns2:Vencimiento"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3372a7-7dc8-4b00-afef-77a513e85060" elementFormDefault="qualified">
    <xsd:import namespace="http://schemas.microsoft.com/office/2006/documentManagement/types"/>
    <xsd:import namespace="http://schemas.microsoft.com/office/infopath/2007/PartnerControls"/>
    <xsd:element name="Vencimiento" ma:index="2" nillable="true" ma:displayName="Fecha de Vencimiento" ma:format="DateTime" ma:internalName="Vencimiento" ma:readOnly="false">
      <xsd:simpleType>
        <xsd:restriction base="dms:DateTim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7ec9755-0539-4a6c-b55f-adec7fd451c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2bbef5c-91bf-4284-8fae-217681526adc" elementFormDefault="qualified">
    <xsd:import namespace="http://schemas.microsoft.com/office/2006/documentManagement/types"/>
    <xsd:import namespace="http://schemas.microsoft.com/office/infopath/2007/PartnerControls"/>
    <xsd:element name="SharedWithUsers" ma:index="8"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hidden="true" ma:internalName="SharedWithDetails" ma:readOnly="true">
      <xsd:simpleType>
        <xsd:restriction base="dms:Note"/>
      </xsd:simpleType>
    </xsd:element>
    <xsd:element name="TaxCatchAll" ma:index="24" nillable="true" ma:displayName="Taxonomy Catch All Column" ma:hidden="true" ma:list="{140b5aea-3ba5-424c-bb0b-7839c7b08bcb}" ma:internalName="TaxCatchAll" ma:showField="CatchAllData" ma:web="32bbef5c-91bf-4284-8fae-217681526a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3372a7-7dc8-4b00-afef-77a513e85060">
      <Terms xmlns="http://schemas.microsoft.com/office/infopath/2007/PartnerControls"/>
    </lcf76f155ced4ddcb4097134ff3c332f>
    <Vencimiento xmlns="1b3372a7-7dc8-4b00-afef-77a513e85060" xsi:nil="true"/>
    <TaxCatchAll xmlns="32bbef5c-91bf-4284-8fae-217681526adc" xsi:nil="true"/>
  </documentManagement>
</p:properties>
</file>

<file path=customXml/itemProps1.xml><?xml version="1.0" encoding="utf-8"?>
<ds:datastoreItem xmlns:ds="http://schemas.openxmlformats.org/officeDocument/2006/customXml" ds:itemID="{1D9946BD-C626-4577-A2BC-6D40EBEE130C}"/>
</file>

<file path=customXml/itemProps2.xml><?xml version="1.0" encoding="utf-8"?>
<ds:datastoreItem xmlns:ds="http://schemas.openxmlformats.org/officeDocument/2006/customXml" ds:itemID="{98E9F7A1-8549-48DF-8EA1-8AE2B4EE251B}"/>
</file>

<file path=customXml/itemProps3.xml><?xml version="1.0" encoding="utf-8"?>
<ds:datastoreItem xmlns:ds="http://schemas.openxmlformats.org/officeDocument/2006/customXml" ds:itemID="{735E915C-BC40-45FE-AA65-1EFDF8FE82F1}"/>
</file>

<file path=docProps/app.xml><?xml version="1.0" encoding="utf-8"?>
<Properties xmlns="http://schemas.openxmlformats.org/officeDocument/2006/extended-properties" xmlns:vt="http://schemas.openxmlformats.org/officeDocument/2006/docPropsVTypes">
  <Template>Normal</Template>
  <TotalTime>0</TotalTime>
  <Pages>8</Pages>
  <Words>1995</Words>
  <Characters>10975</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wordbuilder</vt:lpstr>
    </vt:vector>
  </TitlesOfParts>
  <Company/>
  <LinksUpToDate>false</LinksUpToDate>
  <CharactersWithSpaces>12945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wordbuilder</dc:title>
  <dc:subject/>
  <dc:creator>INTSIG</dc:creator>
  <cp:keywords/>
  <dc:description/>
  <cp:lastModifiedBy>Andreita</cp:lastModifiedBy>
  <cp:revision>2</cp:revision>
  <dcterms:created xsi:type="dcterms:W3CDTF">2025-12-26T23:10:00Z</dcterms:created>
  <dcterms:modified xsi:type="dcterms:W3CDTF">2025-12-26T23:10:00Z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0x01010052368A0DB1641D428485A3D8B3293150</vt:lpwstr>
  </property>
</Properties>
</file>